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4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ПОЯСНИТЕЛЬНАЯ ЗАПИСКА</w:t>
      </w:r>
      <w:r/>
    </w:p>
    <w:p>
      <w:pPr>
        <w:pStyle w:val="884"/>
        <w:ind w:firstLine="720"/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к отчету об исполнении консолидированного бюджета</w:t>
      </w:r>
      <w:r/>
    </w:p>
    <w:p>
      <w:pPr>
        <w:pStyle w:val="884"/>
        <w:ind w:firstLine="720"/>
        <w:jc w:val="center"/>
        <w:rPr>
          <w:sz w:val="28"/>
          <w:szCs w:val="28"/>
        </w:rPr>
      </w:pPr>
      <w:r>
        <w:rPr>
          <w:spacing w:val="-6"/>
          <w:sz w:val="28"/>
          <w:szCs w:val="28"/>
        </w:rPr>
        <w:t xml:space="preserve">Саратовской области </w:t>
      </w:r>
      <w:r>
        <w:rPr>
          <w:sz w:val="28"/>
          <w:szCs w:val="28"/>
        </w:rPr>
        <w:t xml:space="preserve">на 1 января 2023 года</w:t>
      </w:r>
      <w:r/>
    </w:p>
    <w:p>
      <w:pPr>
        <w:pStyle w:val="884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tbl>
      <w:tblPr>
        <w:tblW w:w="9411" w:type="dxa"/>
        <w:tblInd w:w="91" w:type="dxa"/>
        <w:tblLook w:val="04A0" w:firstRow="1" w:lastRow="0" w:firstColumn="1" w:lastColumn="0" w:noHBand="0" w:noVBand="1"/>
      </w:tblPr>
      <w:tblGrid>
        <w:gridCol w:w="2756"/>
        <w:gridCol w:w="3415"/>
        <w:gridCol w:w="1873"/>
        <w:gridCol w:w="1367"/>
      </w:tblGrid>
      <w:tr>
        <w:trPr>
          <w:trHeight w:val="313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56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15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8" w:space="0"/>
            </w:tcBorders>
            <w:tcW w:w="1873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367" w:type="dxa"/>
            <w:vAlign w:val="center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КОДЫ</w:t>
            </w:r>
            <w:r/>
          </w:p>
        </w:tc>
      </w:tr>
      <w:tr>
        <w:trPr>
          <w:trHeight w:val="223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56" w:type="dxa"/>
            <w:vAlign w:val="bottom"/>
            <w:textDirection w:val="lrTb"/>
            <w:noWrap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15" w:type="dxa"/>
            <w:vAlign w:val="bottom"/>
            <w:textDirection w:val="lrTb"/>
            <w:noWrap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73" w:type="dxa"/>
            <w:vAlign w:val="bottom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 по ОКУД</w:t>
            </w:r>
            <w:r/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367" w:type="dxa"/>
            <w:vAlign w:val="bottom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0503360</w:t>
            </w:r>
            <w:r/>
          </w:p>
        </w:tc>
      </w:tr>
      <w:tr>
        <w:trPr>
          <w:trHeight w:val="26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56" w:type="dxa"/>
            <w:vAlign w:val="bottom"/>
            <w:textDirection w:val="lrTb"/>
            <w:noWrap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15" w:type="dxa"/>
            <w:vAlign w:val="bottom"/>
            <w:textDirection w:val="lrTb"/>
            <w:noWrap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73" w:type="dxa"/>
            <w:vAlign w:val="bottom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</w:t>
            </w:r>
            <w:r/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367" w:type="dxa"/>
            <w:vAlign w:val="bottom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01</w:t>
            </w:r>
            <w:r>
              <w:rPr>
                <w:sz w:val="24"/>
                <w:szCs w:val="24"/>
              </w:rPr>
              <w:t xml:space="preserve">.01.20</w:t>
            </w:r>
            <w:r>
              <w:rPr>
                <w:sz w:val="24"/>
                <w:szCs w:val="24"/>
                <w:lang w:val="en-US"/>
              </w:rPr>
              <w:t xml:space="preserve">2</w:t>
            </w:r>
            <w:r>
              <w:rPr>
                <w:sz w:val="24"/>
                <w:szCs w:val="24"/>
              </w:rPr>
              <w:t xml:space="preserve">3</w:t>
            </w:r>
            <w:r/>
          </w:p>
        </w:tc>
      </w:tr>
      <w:tr>
        <w:trPr>
          <w:trHeight w:val="37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56" w:type="dxa"/>
            <w:vAlign w:val="bottom"/>
            <w:textDirection w:val="lrTb"/>
            <w:noWrap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15" w:type="dxa"/>
            <w:vAlign w:val="bottom"/>
            <w:textDirection w:val="lrTb"/>
            <w:noWrap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73" w:type="dxa"/>
            <w:vAlign w:val="bottom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ОКПО</w:t>
            </w:r>
            <w:r/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367" w:type="dxa"/>
            <w:vAlign w:val="bottom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223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56" w:type="dxa"/>
            <w:vAlign w:val="bottom"/>
            <w:textDirection w:val="lrTb"/>
            <w:noWrap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финансового органа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15" w:type="dxa"/>
            <w:vAlign w:val="bottom"/>
            <w:textDirection w:val="lrTb"/>
            <w:noWrap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Министерство финансов Саратовской области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73" w:type="dxa"/>
            <w:vAlign w:val="bottom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по БК</w:t>
            </w:r>
            <w:r/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367" w:type="dxa"/>
            <w:vAlign w:val="bottom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29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56" w:type="dxa"/>
            <w:vAlign w:val="bottom"/>
            <w:textDirection w:val="lrTb"/>
            <w:noWrap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бюджета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15" w:type="dxa"/>
            <w:vAlign w:val="bottom"/>
            <w:textDirection w:val="lrTb"/>
            <w:noWrap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Консолидированный бюджет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73" w:type="dxa"/>
            <w:vAlign w:val="bottom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ОКТМО</w:t>
            </w:r>
            <w:r/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367" w:type="dxa"/>
            <w:vAlign w:val="bottom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63701000</w:t>
            </w:r>
            <w:r/>
          </w:p>
        </w:tc>
      </w:tr>
      <w:tr>
        <w:trPr>
          <w:trHeight w:val="298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171" w:type="dxa"/>
            <w:vAlign w:val="bottom"/>
            <w:textDirection w:val="lrTb"/>
            <w:noWrap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Периодичность: годовая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73" w:type="dxa"/>
            <w:vAlign w:val="bottom"/>
            <w:textDirection w:val="lrTb"/>
            <w:noWrap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367" w:type="dxa"/>
            <w:vAlign w:val="bottom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298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171" w:type="dxa"/>
            <w:vAlign w:val="center"/>
            <w:textDirection w:val="lrTb"/>
            <w:noWrap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Единица измерения: руб.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73" w:type="dxa"/>
            <w:vAlign w:val="center"/>
            <w:textDirection w:val="lrTb"/>
            <w:noWrap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ОКЕИ</w:t>
            </w:r>
            <w:r/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367" w:type="dxa"/>
            <w:vAlign w:val="center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383</w:t>
            </w:r>
            <w:r/>
          </w:p>
        </w:tc>
      </w:tr>
    </w:tbl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Раздел 1 «Организационная структура субъекта бюджетной отчетности»</w:t>
      </w:r>
      <w:r>
        <w:rPr>
          <w:highlight w:val="white"/>
        </w:rPr>
      </w:r>
      <w:r/>
    </w:p>
    <w:p>
      <w:pPr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</w:r>
      <w:r>
        <w:rPr>
          <w:highlight w:val="white"/>
        </w:rPr>
      </w:r>
      <w:r/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соответствии с бюджетным законодательством Саратовской области министерство финансов Саратовской области является уполномоченным органом по составлению годовой бюджетной отчетности об исполнении консолидированного бюджета Саратовской области.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Годовая бюджетная отчетность за 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 год составлена на основании соответствующей бюджетной отчетности 41 главных распорядителей средств областного бюджета, консолидированной отчетности финансовых органов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br/>
        <w:t xml:space="preserve">3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7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 муниципальных районов области и отчетности финансовых органов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br/>
        <w:t xml:space="preserve">4-х городских округов области, территориального фонда обязательного медицинского страхования Саратовской области.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По состоянию на 1 января 202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 года на территории области функционировало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576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 органов государственной власти области и органов местного самоуправления 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2876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 областных и муниципальных учреждений, 1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0 унитарных предприятий, в том числе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 государственных и 1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55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 муниципальных унитарных предприяти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В течение 2022 года за счет проводимых мер по оптимизации сети учреждений бюджетной сферы общее количество учреждений сократилось на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297 единиц. Общее число органов  государственной власти области и органов местного увеличилось на 12 единиц.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Общее число государственных (муниципальных) унитарных предприятий сократилось на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7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ru-RU"/>
        </w:rPr>
        <w:t xml:space="preserve">единиц. </w:t>
      </w:r>
      <w:r>
        <w:rPr>
          <w:rFonts w:ascii="Times New Roman" w:hAnsi="Times New Roman" w:eastAsia="Times New Roman" w:cs="Times New Roman"/>
          <w:color w:val="ff0000"/>
          <w:sz w:val="28"/>
          <w:szCs w:val="28"/>
          <w:lang w:eastAsia="ru-RU"/>
        </w:rPr>
      </w:r>
      <w:r/>
    </w:p>
    <w:p>
      <w:pPr>
        <w:ind w:firstLine="567"/>
        <w:jc w:val="both"/>
        <w:rPr>
          <w:rFonts w:ascii="Times New Roman" w:hAnsi="Times New Roman" w:eastAsia="Times New Roman" w:cs="Times New Roman"/>
          <w:color w:val="ff000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Раздел 2 «Результаты деятельности субъекта бюджетной отчетности»</w:t>
      </w:r>
      <w:r>
        <w:rPr>
          <w:highlight w:val="white"/>
        </w:rPr>
      </w:r>
      <w:r/>
    </w:p>
    <w:p>
      <w:pPr>
        <w:ind w:firstLine="700"/>
        <w:jc w:val="both"/>
        <w:shd w:val="clear" w:color="auto" w:fill="ffffff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</w:r>
      <w:r>
        <w:rPr>
          <w:highlight w:val="yellow"/>
        </w:rPr>
      </w:r>
      <w:r/>
    </w:p>
    <w:p>
      <w:pPr>
        <w:ind w:firstLine="700"/>
        <w:jc w:val="both"/>
        <w:shd w:val="clear" w:color="auto" w:fill="ffffff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Формирование бухгалтерской отчетности о</w:t>
      </w:r>
      <w:r>
        <w:rPr>
          <w:sz w:val="28"/>
          <w:szCs w:val="28"/>
          <w:highlight w:val="white"/>
        </w:rPr>
        <w:t xml:space="preserve">существляется в соответствии с приказами Министерства финансов Российской Федерации от 28 декабря 2010 года № 191н «Об утверждении Инструкции о порядке составления и представления годовой, квартальной и месячной отчетности об исполнении бюджетов бюджетной </w:t>
      </w:r>
      <w:r>
        <w:rPr>
          <w:sz w:val="28"/>
          <w:szCs w:val="28"/>
          <w:highlight w:val="white"/>
        </w:rPr>
        <w:t xml:space="preserve">системы Российской Федерации», от 25 марта 2011 года </w:t>
      </w:r>
      <w:r>
        <w:rPr>
          <w:sz w:val="28"/>
          <w:szCs w:val="28"/>
          <w:highlight w:val="white"/>
        </w:rPr>
        <w:br/>
        <w:t xml:space="preserve">№ 33н «Об утверждении Инструкции о порядке составления, представления годовой, квартальной бухгалтерской отчетности государственных </w:t>
      </w:r>
      <w:r>
        <w:rPr>
          <w:sz w:val="28"/>
          <w:szCs w:val="28"/>
          <w:highlight w:val="white"/>
        </w:rPr>
        <w:t xml:space="preserve">(муниципальных) бюджетных и автономных учреждений», действующими федер</w:t>
      </w:r>
      <w:r>
        <w:rPr>
          <w:sz w:val="28"/>
          <w:szCs w:val="28"/>
          <w:highlight w:val="white"/>
        </w:rPr>
        <w:t xml:space="preserve">альными стандартами.</w:t>
      </w:r>
      <w:r>
        <w:rPr>
          <w:highlight w:val="white"/>
        </w:rPr>
      </w:r>
      <w:r/>
    </w:p>
    <w:p>
      <w:pPr>
        <w:ind w:firstLine="709"/>
        <w:jc w:val="both"/>
        <w:rPr>
          <w:spacing w:val="-6"/>
          <w:sz w:val="28"/>
          <w:szCs w:val="28"/>
          <w:highlight w:val="white"/>
        </w:rPr>
      </w:pPr>
      <w:r>
        <w:rPr>
          <w:spacing w:val="-6"/>
          <w:sz w:val="28"/>
          <w:szCs w:val="28"/>
          <w:highlight w:val="white"/>
        </w:rPr>
        <w:t xml:space="preserve">В целях повышения эффективности расходования бюджетных средств субъектами бюджетной отчетности приняты распорядительные документы по применению энергосберегающей технологии (установка счетчиков воды и тепла), установлению лимитов на ус</w:t>
      </w:r>
      <w:r>
        <w:rPr>
          <w:spacing w:val="-6"/>
          <w:sz w:val="28"/>
          <w:szCs w:val="28"/>
          <w:highlight w:val="white"/>
        </w:rPr>
        <w:t xml:space="preserve">луги сотовой связи, введению нормативов при обеспечении канцелярскими принадлежностями и основными средствами, осуществлению контроля за ведением междугородных переговоров сотрудников и т.д.</w:t>
      </w:r>
      <w:r>
        <w:rPr>
          <w:highlight w:val="white"/>
        </w:rPr>
      </w:r>
      <w:r/>
    </w:p>
    <w:p>
      <w:pPr>
        <w:ind w:firstLine="709"/>
        <w:jc w:val="both"/>
        <w:rPr>
          <w:spacing w:val="-6"/>
          <w:sz w:val="12"/>
          <w:szCs w:val="12"/>
          <w:highlight w:val="white"/>
        </w:rPr>
      </w:pPr>
      <w:r>
        <w:rPr>
          <w:spacing w:val="-6"/>
          <w:sz w:val="12"/>
          <w:szCs w:val="12"/>
          <w:highlight w:val="white"/>
        </w:rPr>
      </w:r>
      <w:r>
        <w:rPr>
          <w:highlight w:val="white"/>
        </w:rPr>
      </w:r>
      <w:r/>
    </w:p>
    <w:p>
      <w:pPr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Раздел 3 «Анализ отчета об исполнении бюджета субъектом бюджетно</w:t>
      </w:r>
      <w:r>
        <w:rPr>
          <w:b/>
          <w:sz w:val="28"/>
          <w:szCs w:val="28"/>
          <w:highlight w:val="white"/>
        </w:rPr>
        <w:t xml:space="preserve">й отчетности» </w:t>
      </w:r>
      <w:r>
        <w:rPr>
          <w:highlight w:val="white"/>
        </w:rPr>
      </w:r>
      <w:r/>
    </w:p>
    <w:p>
      <w:pPr>
        <w:ind w:firstLine="720"/>
        <w:jc w:val="both"/>
        <w:rPr>
          <w:sz w:val="28"/>
          <w:szCs w:val="28"/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/>
    </w:p>
    <w:p>
      <w:pPr>
        <w:ind w:firstLine="720"/>
        <w:jc w:val="both"/>
        <w:spacing w:line="283" w:lineRule="atLeast"/>
        <w:rPr>
          <w:rFonts w:ascii="Times New Roman" w:hAnsi="Times New Roman" w:eastAsia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По итогам 2022 года объем налоговых и неналоговых доходов консолидированного бюджета области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(без учета Территориального фонда обя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зательного медицинского страхования Саратовской области (далее – ТФОМС))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состави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122515490,4 тыс.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рублей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относительно 2021 го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да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увеличился на 13162996,8 тыс. рублей, или на 12%. </w:t>
      </w:r>
      <w:r>
        <w:rPr>
          <w:rFonts w:ascii="PT Astra Serif" w:hAnsi="PT Astra Serif"/>
          <w:sz w:val="28"/>
          <w:szCs w:val="28"/>
        </w:rPr>
        <w:t xml:space="preserve">Уточненные бюджетные назначения исполнены на 101,8%</w:t>
      </w:r>
      <w:r>
        <w:rPr>
          <w:rFonts w:ascii="Times New Roman" w:hAnsi="Times New Roman" w:eastAsia="Times New Roman" w:cs="Times New Roman"/>
          <w:highlight w:val="white"/>
        </w:rPr>
      </w:r>
      <w:r/>
    </w:p>
    <w:p>
      <w:pPr>
        <w:ind w:firstLine="709"/>
        <w:jc w:val="both"/>
        <w:spacing w:after="0" w:line="23" w:lineRule="atLeast"/>
      </w:pPr>
      <w:r>
        <w:rPr>
          <w:rFonts w:ascii="PT Astra Serif" w:hAnsi="PT Astra Serif"/>
          <w:sz w:val="28"/>
          <w:szCs w:val="28"/>
        </w:rPr>
        <w:t xml:space="preserve">Объем налога на прибыль организаций составил 308019</w:t>
      </w:r>
      <w:r>
        <w:rPr>
          <w:rFonts w:ascii="PT Astra Serif" w:hAnsi="PT Astra Serif"/>
          <w:sz w:val="28"/>
          <w:szCs w:val="28"/>
        </w:rPr>
        <w:t xml:space="preserve">57,9 тыс. рублей, за счет налога обеспечено 25,1% общего объема налоговых и неналоговых доходов бюджета (по итогам 2021 года структурная доля налога составляла 27,1%). Относительно факта за 2021 год поступления по налогу на прибыль возросли на 1224443,1 ты</w:t>
      </w:r>
      <w:r>
        <w:rPr>
          <w:rFonts w:ascii="PT Astra Serif" w:hAnsi="PT Astra Serif"/>
          <w:sz w:val="28"/>
          <w:szCs w:val="28"/>
        </w:rPr>
        <w:t xml:space="preserve">с</w:t>
      </w:r>
      <w:r>
        <w:rPr>
          <w:rFonts w:ascii="PT Astra Serif" w:hAnsi="PT Astra Serif"/>
          <w:sz w:val="28"/>
          <w:szCs w:val="28"/>
        </w:rPr>
        <w:t xml:space="preserve">. рублей, или на 4,1%. При этом налог, уплачиваемый консолидированными группами налогоплательщиков</w:t>
      </w:r>
      <w:r>
        <w:rPr>
          <w:rFonts w:ascii="PT Astra Serif" w:hAnsi="PT Astra Serif"/>
          <w:sz w:val="28"/>
          <w:szCs w:val="28"/>
        </w:rPr>
        <w:t xml:space="preserve">,</w:t>
      </w:r>
      <w:r>
        <w:rPr>
          <w:rFonts w:ascii="PT Astra Serif" w:hAnsi="PT Astra Serif"/>
          <w:sz w:val="28"/>
          <w:szCs w:val="28"/>
        </w:rPr>
        <w:t xml:space="preserve"> увеличился на 3692016,1 тыс. рублей, более чем в 1,6 раза. Напротив</w:t>
      </w:r>
      <w:r>
        <w:rPr>
          <w:rFonts w:ascii="PT Astra Serif" w:hAnsi="PT Astra Serif"/>
          <w:sz w:val="28"/>
          <w:szCs w:val="28"/>
        </w:rPr>
        <w:t xml:space="preserve">,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доходы от </w:t>
      </w:r>
      <w:r>
        <w:rPr>
          <w:rFonts w:ascii="PT Astra Serif" w:hAnsi="PT Astra Serif"/>
          <w:sz w:val="28"/>
          <w:szCs w:val="28"/>
        </w:rPr>
        <w:t xml:space="preserve">налог</w:t>
      </w:r>
      <w:r>
        <w:rPr>
          <w:rFonts w:ascii="PT Astra Serif" w:hAnsi="PT Astra Serif"/>
          <w:sz w:val="28"/>
          <w:szCs w:val="28"/>
        </w:rPr>
        <w:t xml:space="preserve">а</w:t>
      </w:r>
      <w:r>
        <w:rPr>
          <w:rFonts w:ascii="PT Astra Serif" w:hAnsi="PT Astra Serif"/>
          <w:sz w:val="28"/>
          <w:szCs w:val="28"/>
        </w:rPr>
        <w:t xml:space="preserve"> на прибыль </w:t>
      </w:r>
      <w:r>
        <w:rPr>
          <w:rFonts w:ascii="PT Astra Serif" w:hAnsi="PT Astra Serif"/>
          <w:sz w:val="28"/>
          <w:szCs w:val="28"/>
        </w:rPr>
        <w:t xml:space="preserve">налогоплательщик</w:t>
      </w:r>
      <w:r>
        <w:rPr>
          <w:rFonts w:ascii="PT Astra Serif" w:hAnsi="PT Astra Serif"/>
          <w:sz w:val="28"/>
          <w:szCs w:val="28"/>
        </w:rPr>
        <w:t xml:space="preserve">ов</w:t>
      </w:r>
      <w:r>
        <w:rPr>
          <w:rFonts w:ascii="PT Astra Serif" w:hAnsi="PT Astra Serif"/>
          <w:sz w:val="28"/>
          <w:szCs w:val="28"/>
        </w:rPr>
        <w:t xml:space="preserve">, не вход</w:t>
      </w:r>
      <w:r>
        <w:rPr>
          <w:rFonts w:ascii="PT Astra Serif" w:hAnsi="PT Astra Serif"/>
          <w:sz w:val="28"/>
          <w:szCs w:val="28"/>
        </w:rPr>
        <w:t xml:space="preserve">ивших</w:t>
      </w:r>
      <w:r>
        <w:rPr>
          <w:rFonts w:ascii="PT Astra Serif" w:hAnsi="PT Astra Serif"/>
          <w:sz w:val="28"/>
          <w:szCs w:val="28"/>
        </w:rPr>
        <w:t xml:space="preserve"> в КГН, сократился на 2467573,0 тыс. рублей, на 10,4%.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after="0" w:line="23" w:lineRule="atLeast"/>
      </w:pPr>
      <w:r>
        <w:rPr>
          <w:rFonts w:ascii="PT Astra Serif" w:hAnsi="PT Astra Serif"/>
          <w:sz w:val="28"/>
          <w:szCs w:val="28"/>
        </w:rPr>
        <w:t xml:space="preserve">Наибольший прирост по налогу обеспечен по виду экономической деятельности «торговля оптовая твердым, жидк</w:t>
      </w:r>
      <w:r>
        <w:rPr>
          <w:rFonts w:ascii="PT Astra Serif" w:hAnsi="PT Astra Serif"/>
          <w:sz w:val="28"/>
          <w:szCs w:val="28"/>
        </w:rPr>
        <w:t xml:space="preserve">им и газообразным топливом и подобными продуктами», где рост к уровню 2021 года составил 2,0 раза, по виду экономической деятельности «деятельность профессиональная, научная и техническая платежи» возросли в 1,8 раза, в «транспортировке и хранении»  – на 12,6%.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after="0" w:line="23" w:lineRule="atLeast"/>
      </w:pPr>
      <w:r>
        <w:rPr>
          <w:rFonts w:ascii="PT Astra Serif" w:hAnsi="PT Astra Serif"/>
          <w:sz w:val="28"/>
          <w:szCs w:val="28"/>
        </w:rPr>
        <w:t xml:space="preserve">По основному для консолидированно</w:t>
      </w:r>
      <w:r>
        <w:rPr>
          <w:rFonts w:ascii="PT Astra Serif" w:hAnsi="PT Astra Serif"/>
          <w:sz w:val="28"/>
          <w:szCs w:val="28"/>
        </w:rPr>
        <w:t xml:space="preserve">го</w:t>
      </w:r>
      <w:r>
        <w:rPr>
          <w:rFonts w:ascii="PT Astra Serif" w:hAnsi="PT Astra Serif"/>
          <w:sz w:val="28"/>
          <w:szCs w:val="28"/>
        </w:rPr>
        <w:t xml:space="preserve"> бюджета налогу - на доходы физических лиц поступление составило 45403925,9 тыс. рублей, увеличение относительно 2021 года на 6083737,2 тыс. рублей, или на 15,5% (что </w:t>
      </w:r>
      <w:r>
        <w:rPr>
          <w:rFonts w:ascii="PT Astra Serif" w:hAnsi="PT Astra Serif"/>
          <w:sz w:val="28"/>
          <w:szCs w:val="28"/>
        </w:rPr>
        <w:t xml:space="preserve">несколько выше</w:t>
      </w:r>
      <w:r>
        <w:rPr>
          <w:rFonts w:ascii="PT Astra Serif" w:hAnsi="PT Astra Serif"/>
          <w:sz w:val="28"/>
          <w:szCs w:val="28"/>
        </w:rPr>
        <w:t xml:space="preserve"> среднего темпа роста по Приволжскому федеральному округу – </w:t>
      </w:r>
      <w:r>
        <w:rPr>
          <w:rFonts w:ascii="PT Astra Serif" w:hAnsi="PT Astra Serif"/>
          <w:sz w:val="28"/>
          <w:szCs w:val="28"/>
        </w:rPr>
        <w:t xml:space="preserve">15,4%, но ниже </w:t>
      </w:r>
      <w:r>
        <w:rPr>
          <w:rFonts w:ascii="PT Astra Serif" w:hAnsi="PT Astra Serif"/>
          <w:sz w:val="28"/>
          <w:szCs w:val="28"/>
        </w:rPr>
        <w:t xml:space="preserve"> среднего роста по </w:t>
      </w:r>
      <w:r>
        <w:rPr>
          <w:rFonts w:ascii="PT Astra Serif" w:hAnsi="PT Astra Serif"/>
          <w:sz w:val="28"/>
          <w:szCs w:val="28"/>
        </w:rPr>
        <w:t xml:space="preserve">всем субъектам </w:t>
      </w:r>
      <w:r>
        <w:rPr>
          <w:rFonts w:ascii="PT Astra Serif" w:hAnsi="PT Astra Serif"/>
          <w:sz w:val="28"/>
          <w:szCs w:val="28"/>
        </w:rPr>
        <w:t xml:space="preserve">Росси</w:t>
      </w:r>
      <w:r>
        <w:rPr>
          <w:rFonts w:ascii="PT Astra Serif" w:hAnsi="PT Astra Serif"/>
          <w:sz w:val="28"/>
          <w:szCs w:val="28"/>
        </w:rPr>
        <w:t xml:space="preserve">йской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Федерации</w:t>
      </w:r>
      <w:r>
        <w:rPr>
          <w:rFonts w:ascii="PT Astra Serif" w:hAnsi="PT Astra Serif"/>
          <w:sz w:val="28"/>
          <w:szCs w:val="28"/>
        </w:rPr>
        <w:t xml:space="preserve"> – </w:t>
      </w:r>
      <w:r>
        <w:rPr>
          <w:rFonts w:ascii="PT Astra Serif" w:hAnsi="PT Astra Serif"/>
          <w:sz w:val="28"/>
          <w:szCs w:val="28"/>
        </w:rPr>
        <w:t xml:space="preserve">16,4%</w:t>
      </w:r>
      <w:r>
        <w:rPr>
          <w:rFonts w:ascii="PT Astra Serif" w:hAnsi="PT Astra Serif"/>
          <w:sz w:val="28"/>
          <w:szCs w:val="28"/>
        </w:rPr>
        <w:t xml:space="preserve">). Структурная доля налога в общем объеме налоговых и неналоговых доходов бюджета составила 37,1%, на 1,1 процентного пункта выше данного показателя за 2021 год.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after="0" w:line="23" w:lineRule="atLeast"/>
      </w:pPr>
      <w:r>
        <w:rPr>
          <w:rFonts w:ascii="PT Astra Serif" w:hAnsi="PT Astra Serif"/>
          <w:sz w:val="28"/>
          <w:szCs w:val="28"/>
        </w:rPr>
        <w:t xml:space="preserve">За счет предоставления имущественных и социальных вычетов возвращено </w:t>
      </w:r>
      <w:r>
        <w:rPr>
          <w:rFonts w:ascii="PT Astra Serif" w:hAnsi="PT Astra Serif"/>
          <w:sz w:val="28"/>
          <w:szCs w:val="28"/>
        </w:rPr>
        <w:t xml:space="preserve">4615097,7 </w:t>
      </w:r>
      <w:r>
        <w:rPr>
          <w:rFonts w:ascii="PT Astra Serif" w:hAnsi="PT Astra Serif"/>
          <w:sz w:val="28"/>
          <w:szCs w:val="28"/>
        </w:rPr>
        <w:t xml:space="preserve">тыс. рублей налога на доходы физических лиц</w:t>
      </w:r>
      <w:r>
        <w:rPr>
          <w:rFonts w:ascii="PT Astra Serif" w:hAnsi="PT Astra Serif"/>
          <w:sz w:val="28"/>
          <w:szCs w:val="28"/>
        </w:rPr>
        <w:t xml:space="preserve">, это 9,2% от поступления по налогу. По сравнению с 2021 годом объем возвратов увеличился на 708385,8 тыс. рублей, или на 18,1%.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after="0" w:line="23" w:lineRule="atLeast"/>
      </w:pPr>
      <w:r>
        <w:rPr>
          <w:rFonts w:ascii="PT Astra Serif" w:hAnsi="PT Astra Serif"/>
          <w:sz w:val="28"/>
          <w:szCs w:val="28"/>
        </w:rPr>
        <w:t xml:space="preserve">Доходы от акцизов составили</w:t>
      </w:r>
      <w:r>
        <w:rPr>
          <w:rFonts w:ascii="PT Astra Serif" w:hAnsi="PT Astra Serif"/>
          <w:sz w:val="28"/>
          <w:szCs w:val="28"/>
        </w:rPr>
        <w:t xml:space="preserve"> 14523521,8 тыс. рублей, относительно 2021 года прирост составил 1133316,8 тыс. рублей, или 8,5%. В том числе акцизы на алкогольную продукцию увеличились на 392751,2 тыс. рублей, или на 19,8%, акцизы на нефтепродукты – на 669083,4 тыс. рублей, или на 5,9%.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after="0" w:line="23" w:lineRule="atLeast"/>
      </w:pPr>
      <w:r>
        <w:rPr>
          <w:rFonts w:ascii="PT Astra Serif" w:hAnsi="PT Astra Serif"/>
          <w:sz w:val="28"/>
          <w:szCs w:val="28"/>
        </w:rPr>
        <w:t xml:space="preserve">Поступление по налогам на совокупный доход составило 9681580,3 тыс. рублей, на 1423606,2 тыс. рублей, или 17,2%, выше уровня 2021 года. Вклад </w:t>
      </w:r>
      <w:r>
        <w:rPr>
          <w:rFonts w:ascii="PT Astra Serif" w:hAnsi="PT Astra Serif"/>
          <w:sz w:val="28"/>
          <w:szCs w:val="28"/>
        </w:rPr>
        <w:t xml:space="preserve">доходов</w:t>
      </w:r>
      <w:r>
        <w:rPr>
          <w:rFonts w:ascii="PT Astra Serif" w:hAnsi="PT Astra Serif"/>
          <w:sz w:val="28"/>
          <w:szCs w:val="28"/>
        </w:rPr>
        <w:t xml:space="preserve">,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п</w:t>
      </w:r>
      <w:r>
        <w:rPr>
          <w:rFonts w:ascii="PT Astra Serif" w:hAnsi="PT Astra Serif"/>
          <w:sz w:val="28"/>
          <w:szCs w:val="28"/>
        </w:rPr>
        <w:t xml:space="preserve">оступающих от применения специальных налоговых режимов увеличился</w:t>
      </w:r>
      <w:r>
        <w:rPr>
          <w:rFonts w:ascii="PT Astra Serif" w:hAnsi="PT Astra Serif"/>
          <w:sz w:val="28"/>
          <w:szCs w:val="28"/>
        </w:rPr>
        <w:t xml:space="preserve"> с 7,6% по итогам </w:t>
      </w:r>
      <w:r>
        <w:rPr>
          <w:rFonts w:ascii="PT Astra Serif" w:hAnsi="PT Astra Serif"/>
          <w:sz w:val="28"/>
          <w:szCs w:val="28"/>
        </w:rPr>
        <w:t xml:space="preserve">2021 года до 7,9% в 2022 году.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after="0" w:line="23" w:lineRule="atLeast"/>
      </w:pPr>
      <w:r>
        <w:rPr>
          <w:rFonts w:ascii="PT Astra Serif" w:hAnsi="PT Astra Serif"/>
          <w:sz w:val="28"/>
          <w:szCs w:val="28"/>
        </w:rPr>
        <w:t xml:space="preserve">Поступление по налогу на имущество организаций составило 9566480,3 тыс. рублей, </w:t>
      </w:r>
      <w:r>
        <w:rPr>
          <w:rFonts w:ascii="PT Astra Serif" w:hAnsi="PT Astra Serif"/>
          <w:sz w:val="28"/>
          <w:szCs w:val="28"/>
        </w:rPr>
        <w:t xml:space="preserve">что на 1603303,2 тыс. рублей, или 20,1% выше уровня 2021 года. </w:t>
      </w:r>
      <w:r>
        <w:rPr>
          <w:rFonts w:ascii="PT Astra Serif" w:hAnsi="PT Astra Serif"/>
          <w:sz w:val="28"/>
          <w:szCs w:val="28"/>
        </w:rPr>
        <w:t xml:space="preserve">Вклад налога в общий объем налоговых и неналоговых доходов составил 7,8% на 0,5 процент</w:t>
      </w:r>
      <w:r>
        <w:rPr>
          <w:rFonts w:ascii="PT Astra Serif" w:hAnsi="PT Astra Serif"/>
          <w:sz w:val="28"/>
          <w:szCs w:val="28"/>
        </w:rPr>
        <w:t xml:space="preserve">ных пункт</w:t>
      </w:r>
      <w:r>
        <w:rPr>
          <w:rFonts w:ascii="PT Astra Serif" w:hAnsi="PT Astra Serif"/>
          <w:sz w:val="28"/>
          <w:szCs w:val="28"/>
        </w:rPr>
        <w:t xml:space="preserve">а выше данного показателя за 2021 год.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after="0" w:line="23" w:lineRule="atLeast"/>
      </w:pPr>
      <w:r>
        <w:rPr>
          <w:rFonts w:ascii="PT Astra Serif" w:hAnsi="PT Astra Serif"/>
          <w:sz w:val="28"/>
          <w:szCs w:val="28"/>
        </w:rPr>
        <w:t xml:space="preserve">Транспортный налог исполнен в объеме 2916605,6 тыс. рублей, на 120576,7 тыс. рублей, или на 4,3%, выше фактического поступления 2021 года.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after="0" w:line="23" w:lineRule="atLeast"/>
      </w:pPr>
      <w:r>
        <w:rPr>
          <w:rFonts w:ascii="PT Astra Serif" w:hAnsi="PT Astra Serif"/>
          <w:sz w:val="28"/>
          <w:szCs w:val="28"/>
        </w:rPr>
        <w:t xml:space="preserve">С положительной динамикой сложилось поступление местных налогов. Налог на имущество физических лиц увеличился на 211194,3 тыс. рублей, или на 21,6%. Доходы от земельного налога составили 1455439,7 тыс.</w:t>
      </w:r>
      <w:r>
        <w:rPr>
          <w:rFonts w:ascii="PT Astra Serif" w:hAnsi="PT Astra Serif"/>
          <w:sz w:val="28"/>
          <w:szCs w:val="28"/>
        </w:rPr>
        <w:t xml:space="preserve"> </w:t>
      </w:r>
      <w:r>
        <w:rPr>
          <w:rFonts w:ascii="PT Astra Serif" w:hAnsi="PT Astra Serif"/>
          <w:sz w:val="28"/>
          <w:szCs w:val="28"/>
        </w:rPr>
        <w:t xml:space="preserve">рублей, на 131723,0 тыс. рублей, или на 10,0%, выше уровня 2021 года.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after="0" w:line="23" w:lineRule="atLeast"/>
      </w:pPr>
      <w:r>
        <w:rPr>
          <w:rFonts w:ascii="PT Astra Serif" w:hAnsi="PT Astra Serif"/>
          <w:sz w:val="28"/>
          <w:szCs w:val="28"/>
        </w:rPr>
        <w:t xml:space="preserve">С наиболее высокими темпами роста сложились поступления налога на добычу полезных ископаемых. От</w:t>
      </w:r>
      <w:r>
        <w:rPr>
          <w:rFonts w:ascii="PT Astra Serif" w:hAnsi="PT Astra Serif"/>
          <w:sz w:val="28"/>
          <w:szCs w:val="28"/>
        </w:rPr>
        <w:t xml:space="preserve">носительно 2021 года поступление</w:t>
      </w:r>
      <w:r>
        <w:rPr>
          <w:rFonts w:ascii="PT Astra Serif" w:hAnsi="PT Astra Serif"/>
          <w:sz w:val="28"/>
          <w:szCs w:val="28"/>
        </w:rPr>
        <w:t xml:space="preserve"> по налогу увеличилось в 1,9 раза, </w:t>
      </w:r>
      <w:r>
        <w:rPr>
          <w:rFonts w:ascii="PT Astra Serif" w:hAnsi="PT Astra Serif"/>
          <w:sz w:val="28"/>
          <w:szCs w:val="28"/>
        </w:rPr>
        <w:t xml:space="preserve">в</w:t>
      </w:r>
      <w:r>
        <w:rPr>
          <w:rFonts w:ascii="PT Astra Serif" w:hAnsi="PT Astra Serif"/>
          <w:sz w:val="28"/>
          <w:szCs w:val="28"/>
        </w:rPr>
        <w:t xml:space="preserve"> абсолютной величине – на 69811,3 тыс.</w:t>
      </w:r>
      <w:r>
        <w:rPr>
          <w:rFonts w:ascii="PT Astra Serif" w:hAnsi="PT Astra Serif"/>
          <w:sz w:val="28"/>
          <w:szCs w:val="28"/>
        </w:rPr>
        <w:t xml:space="preserve"> </w:t>
      </w:r>
      <w:r>
        <w:rPr>
          <w:rFonts w:ascii="PT Astra Serif" w:hAnsi="PT Astra Serif"/>
          <w:sz w:val="28"/>
          <w:szCs w:val="28"/>
        </w:rPr>
        <w:t xml:space="preserve">рублей и составило за 2022 год 145307,6 тыс. рублей.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after="0" w:line="23" w:lineRule="atLeast"/>
      </w:pPr>
      <w:r>
        <w:rPr>
          <w:rFonts w:ascii="PT Astra Serif" w:hAnsi="PT Astra Serif"/>
          <w:sz w:val="28"/>
          <w:szCs w:val="28"/>
        </w:rPr>
        <w:t xml:space="preserve">Объем неналоговых доходов составил 6155701,1 тыс. рублей, рост к фактическому поступлению 2021 года на 1221108,9 тыс. рублей, на 24,8%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after="0" w:line="23" w:lineRule="atLeast"/>
      </w:pPr>
      <w:r>
        <w:rPr>
          <w:rFonts w:ascii="PT Astra Serif" w:hAnsi="PT Astra Serif"/>
          <w:sz w:val="28"/>
          <w:szCs w:val="28"/>
        </w:rPr>
        <w:t xml:space="preserve">Наибольший прирост по неналоговым доходам – по доходам от операций по управлению остатками средств на е</w:t>
      </w:r>
      <w:r>
        <w:rPr>
          <w:rFonts w:ascii="PT Astra Serif" w:hAnsi="PT Astra Serif"/>
          <w:sz w:val="28"/>
          <w:szCs w:val="28"/>
        </w:rPr>
        <w:t xml:space="preserve">дином казначейском счете, в суммовом выражении – на 848442,0 тыс. рублей, в 3,6 раза больше, чем по итогам 2021 года. Всего по доходам от использования государственного и муниципального имущества прирост к 2021 году составил 906910,6 тыс. рублей, 1,5 раза.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after="0" w:line="23" w:lineRule="atLeast"/>
      </w:pPr>
      <w:r>
        <w:rPr>
          <w:rFonts w:ascii="PT Astra Serif" w:hAnsi="PT Astra Serif"/>
          <w:sz w:val="28"/>
          <w:szCs w:val="28"/>
        </w:rPr>
        <w:t xml:space="preserve">Также выше факта 2021 года поступление доходов от оказания платных услуг и компенсаций затрат государства – увеличение на 13,0%, доход</w:t>
      </w:r>
      <w:r>
        <w:rPr>
          <w:rFonts w:ascii="PT Astra Serif" w:hAnsi="PT Astra Serif"/>
          <w:sz w:val="28"/>
          <w:szCs w:val="28"/>
        </w:rPr>
        <w:t xml:space="preserve">ов</w:t>
      </w:r>
      <w:r>
        <w:rPr>
          <w:rFonts w:ascii="PT Astra Serif" w:hAnsi="PT Astra Serif"/>
          <w:sz w:val="28"/>
          <w:szCs w:val="28"/>
        </w:rPr>
        <w:t xml:space="preserve"> от продажи материальных и нематериальных активов – 10,0%, штраф</w:t>
      </w:r>
      <w:r>
        <w:rPr>
          <w:rFonts w:ascii="PT Astra Serif" w:hAnsi="PT Astra Serif"/>
          <w:sz w:val="28"/>
          <w:szCs w:val="28"/>
        </w:rPr>
        <w:t xml:space="preserve">ов</w:t>
      </w:r>
      <w:r>
        <w:rPr>
          <w:rFonts w:ascii="PT Astra Serif" w:hAnsi="PT Astra Serif"/>
          <w:sz w:val="28"/>
          <w:szCs w:val="28"/>
        </w:rPr>
        <w:t xml:space="preserve">, санкци</w:t>
      </w:r>
      <w:r>
        <w:rPr>
          <w:rFonts w:ascii="PT Astra Serif" w:hAnsi="PT Astra Serif"/>
          <w:sz w:val="28"/>
          <w:szCs w:val="28"/>
        </w:rPr>
        <w:t xml:space="preserve">й</w:t>
      </w:r>
      <w:r>
        <w:rPr>
          <w:rFonts w:ascii="PT Astra Serif" w:hAnsi="PT Astra Serif"/>
          <w:sz w:val="28"/>
          <w:szCs w:val="28"/>
        </w:rPr>
        <w:t xml:space="preserve">, возмещени</w:t>
      </w:r>
      <w:r>
        <w:rPr>
          <w:rFonts w:ascii="PT Astra Serif" w:hAnsi="PT Astra Serif"/>
          <w:sz w:val="28"/>
          <w:szCs w:val="28"/>
        </w:rPr>
        <w:t xml:space="preserve">я</w:t>
      </w:r>
      <w:r>
        <w:rPr>
          <w:rFonts w:ascii="PT Astra Serif" w:hAnsi="PT Astra Serif"/>
          <w:sz w:val="28"/>
          <w:szCs w:val="28"/>
        </w:rPr>
        <w:t xml:space="preserve"> ущерба – 10,7%.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after="0" w:line="23" w:lineRule="atLeast"/>
      </w:pPr>
      <w:r>
        <w:rPr>
          <w:rFonts w:ascii="PT Astra Serif" w:hAnsi="PT Astra Serif"/>
          <w:sz w:val="28"/>
          <w:szCs w:val="28"/>
        </w:rPr>
        <w:t xml:space="preserve">С отрицательной динамикой сложилось поступление платежей при пользовании природными ресурсами – сокращение на 10,9% и административным платежам и сбора</w:t>
      </w:r>
      <w:r>
        <w:rPr>
          <w:rFonts w:ascii="PT Astra Serif" w:hAnsi="PT Astra Serif"/>
          <w:sz w:val="28"/>
          <w:szCs w:val="28"/>
        </w:rPr>
        <w:t xml:space="preserve">м – 3,8%.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rPr>
          <w:color w:val="ff0000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Безвозмездные поступления за 2022 год составили в сумме </w:t>
      </w:r>
      <w:r>
        <w:rPr>
          <w:rFonts w:eastAsiaTheme="minorHAnsi"/>
          <w:sz w:val="28"/>
          <w:szCs w:val="28"/>
          <w:highlight w:val="white"/>
        </w:rPr>
        <w:br/>
        <w:t xml:space="preserve">63158430,4 тыс. рубле</w:t>
      </w:r>
      <w:r>
        <w:rPr>
          <w:rFonts w:eastAsiaTheme="minorHAnsi"/>
          <w:sz w:val="28"/>
          <w:szCs w:val="28"/>
          <w:highlight w:val="white"/>
        </w:rPr>
        <w:t xml:space="preserve">й,</w:t>
      </w:r>
      <w:r>
        <w:rPr>
          <w:rFonts w:eastAsiaTheme="minorHAnsi"/>
          <w:sz w:val="28"/>
          <w:szCs w:val="28"/>
          <w:highlight w:val="white"/>
        </w:rPr>
        <w:t xml:space="preserve"> что превышает уровень 2021 года на 4137290,0 тыс</w:t>
      </w:r>
      <w:r>
        <w:rPr>
          <w:rFonts w:eastAsiaTheme="minorHAnsi"/>
          <w:sz w:val="28"/>
          <w:szCs w:val="28"/>
          <w:highlight w:val="white"/>
        </w:rPr>
        <w:t xml:space="preserve">. рублей или на 7%. </w:t>
      </w:r>
      <w:r>
        <w:rPr>
          <w:highlight w:val="white"/>
        </w:rPr>
      </w:r>
      <w:r/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Из федерального бюджета поступило 61940650,9 тыс. рублей, бюджета </w:t>
      </w:r>
      <w:r>
        <w:rPr>
          <w:rFonts w:eastAsiaTheme="minorHAnsi"/>
          <w:sz w:val="28"/>
          <w:szCs w:val="28"/>
          <w:highlight w:val="white"/>
        </w:rPr>
        <w:br/>
        <w:t xml:space="preserve">г. Мос</w:t>
      </w:r>
      <w:r>
        <w:rPr>
          <w:rFonts w:eastAsiaTheme="minorHAnsi"/>
          <w:sz w:val="28"/>
          <w:szCs w:val="28"/>
          <w:highlight w:val="white"/>
        </w:rPr>
        <w:t xml:space="preserve">квы – 1217794,7 тыс. рублей, бю</w:t>
      </w:r>
      <w:r>
        <w:rPr>
          <w:rFonts w:eastAsiaTheme="minorHAnsi"/>
          <w:sz w:val="28"/>
          <w:szCs w:val="28"/>
          <w:highlight w:val="white"/>
        </w:rPr>
        <w:t xml:space="preserve">джета Пенсионного фонда Российско</w:t>
      </w:r>
      <w:r>
        <w:rPr>
          <w:rFonts w:eastAsiaTheme="minorHAnsi"/>
          <w:sz w:val="28"/>
          <w:szCs w:val="28"/>
          <w:highlight w:val="white"/>
        </w:rPr>
        <w:t xml:space="preserve">й Федер</w:t>
      </w:r>
      <w:r>
        <w:rPr>
          <w:rFonts w:eastAsiaTheme="minorHAnsi"/>
          <w:sz w:val="28"/>
          <w:szCs w:val="28"/>
          <w:highlight w:val="white"/>
        </w:rPr>
        <w:t xml:space="preserve">ации</w:t>
      </w:r>
      <w:r>
        <w:rPr>
          <w:rFonts w:eastAsiaTheme="minorHAnsi"/>
          <w:sz w:val="28"/>
          <w:szCs w:val="28"/>
          <w:highlight w:val="white"/>
        </w:rPr>
        <w:t xml:space="preserve"> – 167,4 тыс. рублей,</w:t>
      </w:r>
      <w:r>
        <w:rPr>
          <w:rFonts w:eastAsiaTheme="minorHAnsi"/>
          <w:sz w:val="28"/>
          <w:szCs w:val="28"/>
          <w:highlight w:val="white"/>
        </w:rPr>
        <w:t xml:space="preserve"> Государственной корпорации – Фонда </w:t>
      </w:r>
      <w:r>
        <w:rPr>
          <w:rFonts w:eastAsiaTheme="minorHAnsi"/>
          <w:sz w:val="28"/>
          <w:szCs w:val="28"/>
          <w:highlight w:val="white"/>
        </w:rPr>
        <w:t xml:space="preserve">содействия реформировани</w:t>
      </w:r>
      <w:r>
        <w:rPr>
          <w:rFonts w:eastAsiaTheme="minorHAnsi"/>
          <w:sz w:val="28"/>
          <w:szCs w:val="28"/>
          <w:highlight w:val="white"/>
        </w:rPr>
        <w:t xml:space="preserve">ю жилищно-коммунального хозяйства – 3212017,4 тыс. рублей.</w:t>
      </w:r>
      <w:r>
        <w:rPr>
          <w:highlight w:val="white"/>
        </w:rPr>
      </w:r>
      <w:r/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Доходы консолидированного бюд</w:t>
      </w:r>
      <w:r>
        <w:rPr>
          <w:rFonts w:eastAsiaTheme="minorHAnsi"/>
          <w:sz w:val="28"/>
          <w:szCs w:val="28"/>
          <w:highlight w:val="white"/>
        </w:rPr>
        <w:t xml:space="preserve">жета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 составили 405233,7 тыс. рублей. </w:t>
      </w:r>
      <w:r>
        <w:rPr>
          <w:rFonts w:eastAsiaTheme="minorHAnsi"/>
          <w:sz w:val="28"/>
          <w:szCs w:val="28"/>
          <w:highlight w:val="white"/>
        </w:rPr>
        <w:t xml:space="preserve">Возвращено остатков субсидий, субвенций и иных межбюджетных</w:t>
      </w:r>
      <w:r>
        <w:rPr>
          <w:rFonts w:eastAsiaTheme="minorHAnsi"/>
          <w:sz w:val="28"/>
          <w:szCs w:val="28"/>
          <w:highlight w:val="white"/>
        </w:rPr>
        <w:t xml:space="preserve"> трансфертов, имеющих целевое назначение, прошлых лет на сумму 1</w:t>
      </w:r>
      <w:r>
        <w:rPr>
          <w:rFonts w:eastAsiaTheme="minorHAnsi"/>
          <w:sz w:val="28"/>
          <w:szCs w:val="28"/>
          <w:highlight w:val="white"/>
        </w:rPr>
        <w:t xml:space="preserve">34602,0</w:t>
      </w:r>
      <w:r>
        <w:rPr>
          <w:rFonts w:eastAsiaTheme="minorHAnsi"/>
          <w:sz w:val="28"/>
          <w:szCs w:val="28"/>
          <w:highlight w:val="white"/>
        </w:rPr>
        <w:t xml:space="preserve"> тыс. рублей. </w:t>
      </w:r>
      <w:r>
        <w:rPr>
          <w:rFonts w:eastAsiaTheme="minorHAnsi"/>
          <w:sz w:val="28"/>
          <w:szCs w:val="28"/>
          <w:highlight w:val="white"/>
        </w:rPr>
        <w:t xml:space="preserve">Безвозмездные поступления от негосударственных организаций и прочие безвозмездные поступления в консолидированный бюджет области составили в 2022 году 70321,4 тыс. рублей.</w:t>
      </w:r>
      <w:r>
        <w:rPr>
          <w:highlight w:val="white"/>
        </w:rPr>
      </w:r>
      <w:r/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  <w:t xml:space="preserve">Расходы консолидированного бюджета Саратовской области (без ТФОМС) исполнены в объеме 189284105,5 тыс. рублей или 96,1% годовых назначений, с ростом против 2021 года на 24298238,3 тыс. рублей, или на 14,7%.                                                </w:t>
      </w:r>
      <w:r>
        <w:rPr>
          <w:sz w:val="28"/>
          <w:szCs w:val="28"/>
          <w:highlight w:val="white"/>
        </w:rPr>
        <w:t xml:space="preserve">                          </w:t>
        <w:tab/>
        <w:t xml:space="preserve">Анализ исполнения консолидированного бюджета области по разделам и подразделам бюджетной классификации Российской Федерации представлен в следующей таблице:</w:t>
      </w:r>
      <w:r>
        <w:rPr>
          <w:highlight w:val="white"/>
        </w:rPr>
      </w:r>
      <w:r/>
    </w:p>
    <w:tbl>
      <w:tblPr>
        <w:tblStyle w:val="889"/>
        <w:tblW w:w="0" w:type="auto"/>
        <w:tblInd w:w="-227" w:type="dxa"/>
        <w:tblLayout w:type="fixed"/>
        <w:tblLook w:val="04A0" w:firstRow="1" w:lastRow="0" w:firstColumn="1" w:lastColumn="0" w:noHBand="0" w:noVBand="1"/>
      </w:tblPr>
      <w:tblGrid>
        <w:gridCol w:w="3260"/>
        <w:gridCol w:w="1470"/>
        <w:gridCol w:w="1512"/>
        <w:gridCol w:w="1413"/>
        <w:gridCol w:w="992"/>
        <w:gridCol w:w="1447"/>
      </w:tblGrid>
      <w:tr>
        <w:trPr>
          <w:trHeight w:val="589"/>
        </w:trPr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9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  (тыс.рублей)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Merge w:val="restart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Наименование показателя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2021 год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6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2022 год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9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факт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уточненные бюджетные назначения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факт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% исполнения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% к 2021 году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Расходы - всего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164 985 867,2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196 956 148,1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189 284 105,5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96,1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114,7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Общегосударственные вопросы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8 716 148,9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11 898 420,7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11 194 311,9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94,1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128,4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12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Функционирование высшего должностного лица субъекта Российской Федерации и муниципального образования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439 780,6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602 332,9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586 719,8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97,4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133,4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15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424 678,0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504 602,5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496 378,0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116,9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15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2 672 255,9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3 360 675,9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3 216 538,7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95,7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120,4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Судебная система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465 858,4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579 120,3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575 912,2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123,6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12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797 974,5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985 634,8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962 046,2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97,6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120,6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Обеспечение проведения выборов и референдумов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242 649,9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512 153,4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508 795,7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в 2,1 раза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Международные отношения и международное сотрудничество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181 287,3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104 939,9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57,9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Резервные фонды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237 783,8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Прикладные научные исследования в области общегосударственных вопросов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196,1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197,9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197,9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100,0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100,9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Другие общегосударственные вопросы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3 672 755,5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4 934 631,9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4 742 783,5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96,1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129,1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Национальная оборона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53 201,5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201 054,8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158 455,4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78,8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в 3 раза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Мобилизационная и вневойсковая подготовка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51 492,6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200 184,0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157 631,6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78,7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в 3,1 раза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Мобилизационная подготовка экономики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1 708,9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870,8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823,8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94,6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48,2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Национальная безопасность и правоохранительная деятельность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821 884,5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1 074 533,0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1 055 923,6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98,3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128,5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Органы юстиции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138 546,6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180 507,1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180 102,9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130,0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12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Гражданская оборона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56 042,8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132 389,8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129 800,3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в 2,3 раза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Защита населения и территории от последствий чрезвычайных ситуаций природного и техногенного характера, пожарная безопасность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616 698,2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751 749,7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736 332,0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97,9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119,4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Миграционная политика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9 000,0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7 860,0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7 832,0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87,0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9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Другие вопросы в области национальной безопасности и правоохранительной деятельности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1 596,9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2 026,4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1 856,4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91,6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116,3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Национальная экономика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28 308 626,3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41 010 542,0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39 408 456,6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96,1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139,2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Общеэкономические вопросы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370 176,5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670 804,2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665 935,6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в 1,8 раза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Топливно-энергетический комплекс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81 584,8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124 292,6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50 845,2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40,9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62,3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Сельское хозяйство и рыболовство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3 008 921,0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4 131 697,9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4 129 656,2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100,0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137,2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Водное хозяйство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508 207,7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450 486,0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448 108,5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88,2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Лесное хозяйство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278 742,1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308 169,5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307 912,6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110,5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Транспорт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1 512 433,5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2 096 398,0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2 021 419,2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96,4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133,7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Дорожное хозяйство (дорожные фонды)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20 726 612,9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29 634 149,3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28 202 760,6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95,2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136,1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Связь и информатика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74 643,8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108 164,0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107 301,0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143,8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Прикладные научные исследования в области национальной экономики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180,0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3 400,0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3 400,0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100,0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в 18,9 раза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Другие вопросы в области национальной экономики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1 747 124,0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3 482 980,5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3 471 117,7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в 2 раза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Жилищно-коммунальное хозяйство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10 926 963,8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14 732 202,8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11 630 543,2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78,9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106,4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Жилищное хозяйство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4 140 410,5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6 180 170,6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3 648 532,3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59,0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88,1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Коммунальное хозяйство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1 510 346,9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2 729 503,3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2 415 203,6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88,5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в 1,6 раза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Благоустройство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4 181 212,7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4 430 176,1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4 242 694,3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95,8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101,5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9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Прикладные научные исследования в области жилищно-коммунального хозяйства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11 000,0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Другие вопросы в области жилищно-коммунального хозяйства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1 083 993,7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1 392 352,8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1 324 113,0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95,1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122,2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Охрана окружающей среды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138 495,8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337 453,4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321 100,3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95,2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в 2,3 раза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Сбор, удаление отходов и очистка сточных вод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34 078,7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125 904,9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125 481,5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в 3,7 раза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Охрана объектов растительного и животного мира и среды их обитания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43 359,6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112 324,3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112 324,3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100,0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в 2,6 раза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Прикладные научные исследования в области охраны окружающей среды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235,0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280,0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280,0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100,0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119,1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Другие вопросы в области охраны окружающей среды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60 822,5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98 944,2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83 014,5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83,9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136,5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Образование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41 559 886,9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48 626 311,9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47 912 864,8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115,3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Дошкольное образование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10 356 459,7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10 432 421,1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10 256 499,6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98,3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Общее образование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22 909 835,7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28 217 341,7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27 835 005,7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121,5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Дополнительное образование детей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2 725 822,6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3 478 338,5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3 393 792,6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97,6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124,5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Среднее профессиональное образование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3 264 679,2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3 622 706,7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3 622 387,4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100,0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111,0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9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247 848,8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276 825,0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275 469,4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111,1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Молодежная политика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847 999,5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1 008 348,1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999 349,6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117,8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Другие вопросы в области образования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1 207 241,4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1 590 330,8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1 530 360,5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96,2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126,8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Культура, кинематография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6 013 752,0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8 471 528,8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8 091 513,5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95,5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134,6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Культура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5 157 082,3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7 490 505,6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7 151 284,5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95,5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138,7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Другие вопросы в области культуры, кинематографии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856 669,7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981 023,2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940 229,0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95,8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109,8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Здравоохранение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20 900 712,9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20 305 151,9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19 789 691,1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97,5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94,7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Стационарная медицинская помощь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11 001 752,3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13 590 213,1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13 269 408,2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97,6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120,6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Амбулаторная помощь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1 496 538,9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1 722 337,9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1 711 498,3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114,4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Скорая медицинская помощь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563 107,6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580 424,9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579 841,4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103,0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Санаторно-оздоровительная помощь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95 213,0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103 650,2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103 650,2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100,0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108,9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9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Заготовка, переработка, хранение и обеспечение безопасности донорской крови и её компонентов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203 684,9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222 789,0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222 789,0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100,0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109,4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Санитарно-эпидемиологическое благополучие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7 557,5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8 607,9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8 607,9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100,0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113,9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Другие вопросы в области здравоохранения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7 532 858,7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4 077 128,9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3 893 896,1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95,5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51,7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Социальная политика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42 568 095,8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45 246 216,4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44 868 215,6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105,4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Пенсионное обеспечение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383 486,1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415 820,8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414 388,6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108,1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Социальное обслуживание населения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6 431 573,6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7 060 880,7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7 055 751,2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109,7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Социальное обеспечение населения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19 875 211,7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20 742 470,8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20 585 841,7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103,6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Охрана семьи и детства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14 458 594,3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15 439 352,7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15 240 810,7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105,4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Другие вопросы в области социальной политики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1 419 230,1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1 587 691,4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1 571 423,4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110,7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Физическая культура и спорт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3 096 221,3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3 707 801,2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3 519 062,1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94,9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113,7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Физическая культура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1 205 262,0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1 341 449,4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1 318 709,8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98,3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109,4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Массовый спорт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1 085 469,6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1 632 975,4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1 468 793,1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89,9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135,3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Спорт высших достижений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669 183,5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639 746,2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639 734,9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100,0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95,6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Другие вопросы в области физической культуры и спорта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136 306,2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93 630,2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91 824,3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98,1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67,4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Средства массовой информации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156 234,0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233 112,2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228 350,9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146,2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Телевидение и радиовещание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32 889,3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53 376,9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53 376,9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100,0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в 1,6 раза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Периодическая печать и издательства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68 307,8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102 890,2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98 150,3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95,4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143,7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Другие вопросы в области средств массовой информации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55 036,9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76 845,1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76 823,7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100,0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139,6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Обслуживание государственного и муниципального долга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1 725 643,5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1 111 819,0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1 105 616,5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64,1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6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Обслуживание государственного внутреннего и муниципального долга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70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1 725 643,5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1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1 111 819,0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1 105 616,5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99,4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64,1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</w:tbl>
    <w:p>
      <w:pPr>
        <w:rPr>
          <w:highlight w:val="yellow"/>
        </w:rPr>
      </w:pPr>
      <w:r>
        <w:rPr>
          <w:rFonts w:eastAsiaTheme="minorHAnsi"/>
          <w:highlight w:val="yellow"/>
        </w:rPr>
      </w:r>
      <w:r>
        <w:rPr>
          <w:highlight w:val="yellow"/>
        </w:rPr>
      </w:r>
      <w:r/>
    </w:p>
    <w:p>
      <w:pPr>
        <w:ind w:firstLine="700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Исполнение по обязательствам, финансовое обеспечение которых осуществлялось за счет субсидий, субвенций, целевых дотаций и иных межбюджетных трансфертов из федерального бюджета (далее – целевые федеральные средства), сложилось в сумме 47952904,2 тыс. рубле</w:t>
      </w:r>
      <w:r>
        <w:rPr>
          <w:rFonts w:eastAsiaTheme="minorHAnsi"/>
          <w:sz w:val="28"/>
          <w:szCs w:val="28"/>
          <w:highlight w:val="white"/>
        </w:rPr>
        <w:t xml:space="preserve">й, или</w:t>
      </w:r>
      <w:r>
        <w:rPr>
          <w:rFonts w:eastAsiaTheme="minorHAnsi"/>
          <w:sz w:val="28"/>
          <w:szCs w:val="28"/>
          <w:highlight w:val="white"/>
        </w:rPr>
        <w:t xml:space="preserve"> 99,9% от фактически поступивших средств и не использованных на 1 января 2022 года остатков целевых федеральных средств, разрешенных к использованию в 2022 году на те же цели.</w:t>
      </w:r>
      <w:r>
        <w:rPr>
          <w:highlight w:val="white"/>
        </w:rPr>
      </w:r>
      <w:r/>
    </w:p>
    <w:p>
      <w:pPr>
        <w:ind w:firstLine="700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По состоянию на 1 января 2023 года неиспользованные остатки целевых федераль</w:t>
      </w:r>
      <w:r>
        <w:rPr>
          <w:rFonts w:eastAsiaTheme="minorHAnsi"/>
          <w:sz w:val="28"/>
          <w:szCs w:val="28"/>
          <w:highlight w:val="white"/>
        </w:rPr>
        <w:t xml:space="preserve">ных средств составили 16298,2 тыс. рублей, которые подлежат обязательному возврату в федеральный бюджет. </w:t>
      </w:r>
      <w:r>
        <w:rPr>
          <w:highlight w:val="white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По состоянию на 1 января 2023</w:t>
      </w:r>
      <w:r>
        <w:rPr>
          <w:sz w:val="28"/>
          <w:szCs w:val="28"/>
        </w:rPr>
        <w:t xml:space="preserve"> года размер государственного д</w:t>
      </w:r>
      <w:r>
        <w:rPr>
          <w:sz w:val="28"/>
          <w:szCs w:val="28"/>
        </w:rPr>
        <w:t xml:space="preserve">олга области составил в сумме 59293293,6</w:t>
      </w:r>
      <w:r>
        <w:rPr>
          <w:sz w:val="28"/>
          <w:szCs w:val="28"/>
        </w:rPr>
        <w:t xml:space="preserve"> тыс. рублей, совокупного муниципального долга – </w:t>
      </w:r>
      <w:r>
        <w:rPr>
          <w:sz w:val="28"/>
          <w:szCs w:val="28"/>
        </w:rPr>
        <w:t xml:space="preserve">12140206,5</w:t>
      </w:r>
      <w:r>
        <w:rPr>
          <w:sz w:val="28"/>
          <w:szCs w:val="28"/>
        </w:rPr>
        <w:t xml:space="preserve"> тыс</w:t>
      </w:r>
      <w:r>
        <w:rPr>
          <w:sz w:val="28"/>
          <w:szCs w:val="28"/>
        </w:rPr>
        <w:t xml:space="preserve">. рублей. Объем государственного долга </w:t>
      </w:r>
      <w:r>
        <w:rPr>
          <w:sz w:val="28"/>
          <w:szCs w:val="28"/>
        </w:rPr>
        <w:t xml:space="preserve">области увеличился с начала 2022</w:t>
      </w:r>
      <w:r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 xml:space="preserve">4289062,2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 и составил 61,0</w:t>
      </w:r>
      <w:r>
        <w:rPr>
          <w:sz w:val="28"/>
          <w:szCs w:val="28"/>
        </w:rPr>
        <w:t xml:space="preserve">% к фактическому поступлению налоговых и неналоговых до</w:t>
      </w:r>
      <w:r>
        <w:rPr>
          <w:sz w:val="28"/>
          <w:szCs w:val="28"/>
        </w:rPr>
        <w:t xml:space="preserve">ходов областного бюджета за 2022</w:t>
      </w:r>
      <w:r>
        <w:rPr>
          <w:sz w:val="28"/>
          <w:szCs w:val="28"/>
        </w:rPr>
        <w:t xml:space="preserve"> год. Объем муниципального долга увеличился на  </w:t>
      </w:r>
      <w:r>
        <w:rPr>
          <w:sz w:val="28"/>
          <w:szCs w:val="28"/>
        </w:rPr>
        <w:t xml:space="preserve">1081486,7</w:t>
      </w:r>
      <w:r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.</w:t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Расходы на обслуживание государственного и муниципального долга составил</w:t>
      </w:r>
      <w:r>
        <w:rPr>
          <w:sz w:val="28"/>
          <w:szCs w:val="28"/>
        </w:rPr>
        <w:t xml:space="preserve">и за 2022</w:t>
      </w:r>
      <w:r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880277,2</w:t>
      </w:r>
      <w:r>
        <w:rPr>
          <w:sz w:val="28"/>
          <w:szCs w:val="28"/>
        </w:rPr>
        <w:t xml:space="preserve"> тыс. рублей и </w:t>
      </w:r>
      <w:r>
        <w:rPr>
          <w:sz w:val="28"/>
          <w:szCs w:val="28"/>
        </w:rPr>
        <w:t xml:space="preserve">234029,1</w:t>
      </w:r>
      <w:r>
        <w:rPr>
          <w:sz w:val="28"/>
          <w:szCs w:val="28"/>
        </w:rPr>
        <w:t xml:space="preserve"> тыс. рублей соответственно.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В 2022 году Саратовская область погасила первую амортизационну</w:t>
      </w:r>
      <w:r>
        <w:rPr>
          <w:sz w:val="28"/>
          <w:szCs w:val="28"/>
        </w:rPr>
        <w:t xml:space="preserve">ю часть</w:t>
      </w:r>
      <w:r>
        <w:rPr>
          <w:sz w:val="28"/>
          <w:szCs w:val="28"/>
        </w:rPr>
        <w:t xml:space="preserve"> облигаций </w:t>
      </w:r>
      <w:r>
        <w:rPr>
          <w:sz w:val="28"/>
          <w:szCs w:val="28"/>
        </w:rPr>
        <w:t xml:space="preserve">в сумме</w:t>
      </w:r>
      <w:r>
        <w:rPr>
          <w:sz w:val="28"/>
          <w:szCs w:val="28"/>
        </w:rPr>
        <w:t xml:space="preserve"> 1500000,00 тыс. рублей. По состоянию на 1 января 2023 года долг по ценным бумагам составил 3500000,00 тыс. рублей.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Привлечение </w:t>
      </w:r>
      <w:r>
        <w:rPr>
          <w:sz w:val="28"/>
          <w:szCs w:val="28"/>
        </w:rPr>
        <w:t xml:space="preserve">кредитов от кредитных организаций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Саратовская область</w:t>
      </w:r>
      <w:r>
        <w:t xml:space="preserve"> </w:t>
      </w: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2022</w:t>
      </w:r>
      <w:r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осуществляла. Муниципальными образованиями</w:t>
      </w:r>
      <w:r>
        <w:rPr>
          <w:sz w:val="28"/>
          <w:szCs w:val="28"/>
        </w:rPr>
        <w:t xml:space="preserve"> привлечено </w:t>
      </w:r>
      <w:r>
        <w:rPr>
          <w:sz w:val="28"/>
          <w:szCs w:val="28"/>
        </w:rPr>
        <w:t xml:space="preserve">кредитов от кредитных организаций</w:t>
      </w:r>
      <w:r>
        <w:rPr>
          <w:sz w:val="28"/>
          <w:szCs w:val="28"/>
        </w:rPr>
        <w:t xml:space="preserve"> на общую сумму </w:t>
      </w:r>
      <w:r>
        <w:rPr>
          <w:sz w:val="28"/>
          <w:szCs w:val="28"/>
        </w:rPr>
        <w:t xml:space="preserve">3004211,8 </w:t>
      </w:r>
      <w:r>
        <w:rPr>
          <w:sz w:val="28"/>
          <w:szCs w:val="28"/>
        </w:rPr>
        <w:t xml:space="preserve">тыс. рублей</w:t>
      </w:r>
      <w:r>
        <w:rPr>
          <w:sz w:val="28"/>
          <w:szCs w:val="28"/>
        </w:rPr>
        <w:t xml:space="preserve">.</w:t>
      </w:r>
      <w:r>
        <w:t xml:space="preserve">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огашение кредитов от кр</w:t>
      </w:r>
      <w:r>
        <w:rPr>
          <w:sz w:val="28"/>
          <w:szCs w:val="28"/>
        </w:rPr>
        <w:t xml:space="preserve">едитных организаций составило за</w:t>
      </w:r>
      <w:r>
        <w:rPr>
          <w:sz w:val="28"/>
          <w:szCs w:val="28"/>
        </w:rPr>
        <w:t xml:space="preserve"> 2022 год –</w:t>
      </w:r>
      <w:r>
        <w:rPr>
          <w:sz w:val="28"/>
          <w:szCs w:val="28"/>
        </w:rPr>
        <w:t xml:space="preserve"> 15498177,4</w:t>
      </w:r>
      <w:r>
        <w:t xml:space="preserve"> </w:t>
      </w:r>
      <w:r>
        <w:rPr>
          <w:sz w:val="28"/>
          <w:szCs w:val="28"/>
        </w:rPr>
        <w:t xml:space="preserve">тыс. рублей</w:t>
      </w:r>
      <w:r>
        <w:rPr>
          <w:sz w:val="28"/>
          <w:szCs w:val="28"/>
        </w:rPr>
        <w:t xml:space="preserve"> (в том числе по местным</w:t>
      </w:r>
      <w:r>
        <w:rPr>
          <w:sz w:val="28"/>
          <w:szCs w:val="28"/>
        </w:rPr>
        <w:t xml:space="preserve"> бюджетам </w:t>
      </w:r>
      <w:r>
        <w:rPr>
          <w:sz w:val="28"/>
          <w:szCs w:val="28"/>
        </w:rPr>
        <w:t xml:space="preserve">4576174</w:t>
      </w:r>
      <w:r>
        <w:rPr>
          <w:sz w:val="28"/>
          <w:szCs w:val="28"/>
        </w:rPr>
        <w:t xml:space="preserve">,0 тыс. рублей</w:t>
      </w:r>
      <w:r>
        <w:rPr>
          <w:sz w:val="28"/>
          <w:szCs w:val="28"/>
        </w:rPr>
        <w:t xml:space="preserve">).</w:t>
      </w:r>
      <w:r/>
    </w:p>
    <w:p>
      <w:pPr>
        <w:ind w:firstLine="709"/>
        <w:jc w:val="both"/>
      </w:pPr>
      <w:r>
        <w:rPr>
          <w:spacing w:val="-6"/>
          <w:sz w:val="28"/>
          <w:szCs w:val="28"/>
        </w:rPr>
        <w:t xml:space="preserve">Привлечение и погашение в </w:t>
      </w:r>
      <w:r>
        <w:rPr>
          <w:spacing w:val="-6"/>
          <w:sz w:val="28"/>
          <w:szCs w:val="28"/>
        </w:rPr>
        <w:t xml:space="preserve">областной бюджет </w:t>
      </w:r>
      <w:r>
        <w:rPr>
          <w:spacing w:val="-6"/>
          <w:sz w:val="28"/>
          <w:szCs w:val="28"/>
        </w:rPr>
        <w:t xml:space="preserve">бюджетных кредитов на пополнение остатка средств на едином счете бюджета из У</w:t>
      </w:r>
      <w:r>
        <w:rPr>
          <w:spacing w:val="-6"/>
          <w:sz w:val="28"/>
          <w:szCs w:val="28"/>
        </w:rPr>
        <w:t xml:space="preserve">ФК по Саратовской области в 2022</w:t>
      </w:r>
      <w:r>
        <w:rPr>
          <w:spacing w:val="-6"/>
          <w:sz w:val="28"/>
          <w:szCs w:val="28"/>
        </w:rPr>
        <w:t xml:space="preserve"> году не осуществлялось.</w:t>
      </w:r>
      <w:r>
        <w:rPr>
          <w:spacing w:val="-6"/>
          <w:sz w:val="28"/>
          <w:szCs w:val="28"/>
        </w:rPr>
      </w:r>
      <w:r/>
    </w:p>
    <w:p>
      <w:pPr>
        <w:ind w:firstLine="709"/>
        <w:jc w:val="both"/>
      </w:pPr>
      <w:r>
        <w:rPr>
          <w:spacing w:val="-6"/>
          <w:sz w:val="28"/>
          <w:szCs w:val="28"/>
        </w:rPr>
        <w:t xml:space="preserve">В</w:t>
      </w:r>
      <w:r>
        <w:rPr>
          <w:spacing w:val="-6"/>
          <w:sz w:val="28"/>
          <w:szCs w:val="28"/>
        </w:rPr>
        <w:t xml:space="preserve"> 2022 году Правительство области осуществляло согласование предоставления Управлением Федерального казначейства по Саратовской области казначейских бюджетных кредитов в рамках лимита, установленного Минфином России для Саратовской области. Данный механизм </w:t>
      </w:r>
      <w:r>
        <w:rPr>
          <w:spacing w:val="-6"/>
          <w:sz w:val="28"/>
          <w:szCs w:val="28"/>
        </w:rPr>
        <w:t xml:space="preserve">использовался в трех муниципалитетах и в 2022 году привлечение бюджетных кредитов составило</w:t>
      </w:r>
      <w:r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10950</w:t>
      </w:r>
      <w:r>
        <w:rPr>
          <w:spacing w:val="-6"/>
          <w:sz w:val="28"/>
          <w:szCs w:val="28"/>
        </w:rPr>
        <w:t xml:space="preserve">00,00 тыс</w:t>
      </w:r>
      <w:r>
        <w:rPr>
          <w:spacing w:val="-6"/>
          <w:sz w:val="28"/>
          <w:szCs w:val="28"/>
        </w:rPr>
        <w:t xml:space="preserve">.</w:t>
      </w:r>
      <w:r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рублей.</w:t>
      </w:r>
      <w:r>
        <w:rPr>
          <w:spacing w:val="-6"/>
          <w:sz w:val="28"/>
          <w:szCs w:val="28"/>
        </w:rPr>
      </w:r>
      <w:r/>
    </w:p>
    <w:p>
      <w:pPr>
        <w:ind w:firstLine="709"/>
        <w:jc w:val="both"/>
      </w:pPr>
      <w:r>
        <w:rPr>
          <w:spacing w:val="-6"/>
          <w:sz w:val="28"/>
          <w:szCs w:val="28"/>
        </w:rPr>
        <w:t xml:space="preserve">Привлечение </w:t>
      </w:r>
      <w:r>
        <w:rPr>
          <w:spacing w:val="-6"/>
          <w:sz w:val="28"/>
          <w:szCs w:val="28"/>
        </w:rPr>
        <w:t xml:space="preserve">в </w:t>
      </w:r>
      <w:r>
        <w:rPr>
          <w:spacing w:val="-6"/>
          <w:sz w:val="28"/>
          <w:szCs w:val="28"/>
        </w:rPr>
        <w:t xml:space="preserve">2022</w:t>
      </w:r>
      <w:r>
        <w:rPr>
          <w:spacing w:val="-6"/>
          <w:sz w:val="28"/>
          <w:szCs w:val="28"/>
        </w:rPr>
        <w:t xml:space="preserve"> году</w:t>
      </w:r>
      <w:r>
        <w:t xml:space="preserve"> </w:t>
      </w:r>
      <w:r>
        <w:rPr>
          <w:spacing w:val="-6"/>
          <w:sz w:val="28"/>
          <w:szCs w:val="28"/>
        </w:rPr>
        <w:t xml:space="preserve">Саратовской областью бюджетных кр</w:t>
      </w:r>
      <w:r>
        <w:rPr>
          <w:spacing w:val="-6"/>
          <w:sz w:val="28"/>
          <w:szCs w:val="28"/>
        </w:rPr>
        <w:t xml:space="preserve">едитов из федерального бюджета </w:t>
      </w:r>
      <w:r>
        <w:rPr>
          <w:spacing w:val="-6"/>
          <w:sz w:val="28"/>
          <w:szCs w:val="28"/>
        </w:rPr>
        <w:t xml:space="preserve">составило в сумме </w:t>
      </w:r>
      <w:r>
        <w:rPr>
          <w:spacing w:val="-6"/>
          <w:sz w:val="28"/>
          <w:szCs w:val="28"/>
        </w:rPr>
        <w:t xml:space="preserve">16711065,6</w:t>
      </w:r>
      <w:r>
        <w:rPr>
          <w:spacing w:val="-6"/>
          <w:sz w:val="28"/>
          <w:szCs w:val="28"/>
        </w:rPr>
        <w:t xml:space="preserve"> тыс. рублей</w:t>
      </w:r>
      <w:r>
        <w:rPr>
          <w:spacing w:val="-6"/>
          <w:sz w:val="28"/>
          <w:szCs w:val="28"/>
        </w:rPr>
        <w:t xml:space="preserve"> (для </w:t>
      </w:r>
      <w:r>
        <w:rPr>
          <w:sz w:val="28"/>
          <w:szCs w:val="28"/>
        </w:rPr>
        <w:t xml:space="preserve">погашения долговых обязательств по рыночным заимствованиям области и муниципальных образований</w:t>
      </w:r>
      <w:r>
        <w:rPr>
          <w:sz w:val="28"/>
          <w:szCs w:val="28"/>
        </w:rPr>
        <w:t xml:space="preserve"> - </w:t>
      </w:r>
      <w:r>
        <w:rPr>
          <w:spacing w:val="-6"/>
          <w:sz w:val="28"/>
          <w:szCs w:val="28"/>
        </w:rPr>
        <w:t xml:space="preserve">15211065,6 тыс. рублей</w:t>
      </w:r>
      <w:r>
        <w:rPr>
          <w:spacing w:val="-6"/>
          <w:sz w:val="28"/>
          <w:szCs w:val="28"/>
        </w:rPr>
        <w:t xml:space="preserve">, н</w:t>
      </w:r>
      <w:r>
        <w:rPr>
          <w:spacing w:val="-6"/>
          <w:sz w:val="28"/>
          <w:szCs w:val="28"/>
        </w:rPr>
        <w:t xml:space="preserve">а финансовое обеспечение реализации инфраструктурных проектов </w:t>
      </w:r>
      <w:r>
        <w:rPr>
          <w:spacing w:val="-6"/>
          <w:sz w:val="28"/>
          <w:szCs w:val="28"/>
        </w:rPr>
        <w:t xml:space="preserve">- 1500000,00 тыс. рублей).</w:t>
      </w:r>
      <w:r>
        <w:rPr>
          <w:spacing w:val="-6"/>
          <w:sz w:val="28"/>
          <w:szCs w:val="28"/>
        </w:rPr>
      </w:r>
      <w:r/>
    </w:p>
    <w:p>
      <w:pPr>
        <w:ind w:firstLine="709"/>
        <w:jc w:val="both"/>
      </w:pPr>
      <w:r>
        <w:rPr>
          <w:spacing w:val="-6"/>
          <w:sz w:val="28"/>
          <w:szCs w:val="28"/>
        </w:rPr>
        <w:t xml:space="preserve">В связи с получением в 2022 году </w:t>
      </w:r>
      <w:r>
        <w:rPr>
          <w:spacing w:val="-6"/>
          <w:sz w:val="28"/>
          <w:szCs w:val="28"/>
        </w:rPr>
        <w:t xml:space="preserve">Саратовской областью </w:t>
      </w:r>
      <w:r>
        <w:rPr>
          <w:spacing w:val="-6"/>
          <w:sz w:val="28"/>
          <w:szCs w:val="28"/>
        </w:rPr>
        <w:t xml:space="preserve">бюджетного</w:t>
      </w:r>
      <w:r>
        <w:rPr>
          <w:spacing w:val="-6"/>
          <w:sz w:val="28"/>
          <w:szCs w:val="28"/>
        </w:rPr>
        <w:t xml:space="preserve"> кр</w:t>
      </w:r>
      <w:r>
        <w:rPr>
          <w:spacing w:val="-6"/>
          <w:sz w:val="28"/>
          <w:szCs w:val="28"/>
        </w:rPr>
        <w:t xml:space="preserve">едита</w:t>
      </w:r>
      <w:r>
        <w:rPr>
          <w:spacing w:val="-6"/>
          <w:sz w:val="28"/>
          <w:szCs w:val="28"/>
        </w:rPr>
        <w:t xml:space="preserve"> из федерального бюджета</w:t>
      </w:r>
      <w:r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погашения долговых обязательств по рыночным заимствованиям области </w:t>
      </w:r>
      <w:r>
        <w:rPr>
          <w:sz w:val="28"/>
          <w:szCs w:val="28"/>
        </w:rPr>
        <w:t xml:space="preserve">долг по кредитам от кредитных организаций на </w:t>
      </w:r>
      <w:r>
        <w:rPr>
          <w:sz w:val="28"/>
          <w:szCs w:val="28"/>
        </w:rPr>
        <w:t xml:space="preserve">1 января 2023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отсутствует.</w:t>
      </w:r>
      <w:r>
        <w:rPr>
          <w:spacing w:val="-6"/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В связи с </w:t>
      </w:r>
      <w:r>
        <w:rPr>
          <w:sz w:val="28"/>
          <w:szCs w:val="28"/>
        </w:rPr>
        <w:t xml:space="preserve">переносом срока погашения реструктурированной задолженности </w:t>
      </w:r>
      <w:r>
        <w:rPr>
          <w:sz w:val="28"/>
          <w:szCs w:val="28"/>
        </w:rPr>
        <w:t xml:space="preserve">по бюджетным кредитам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2029 год </w:t>
      </w:r>
      <w:r>
        <w:rPr>
          <w:spacing w:val="-6"/>
          <w:sz w:val="28"/>
          <w:szCs w:val="28"/>
        </w:rPr>
        <w:t xml:space="preserve">погашение</w:t>
      </w:r>
      <w:r>
        <w:rPr>
          <w:spacing w:val="-6"/>
          <w:sz w:val="28"/>
          <w:szCs w:val="28"/>
        </w:rPr>
        <w:t xml:space="preserve"> бюджетных кредитов </w:t>
      </w:r>
      <w:r>
        <w:rPr>
          <w:spacing w:val="-6"/>
          <w:sz w:val="28"/>
          <w:szCs w:val="28"/>
        </w:rPr>
        <w:t xml:space="preserve">областного бюджета </w:t>
      </w:r>
      <w:r>
        <w:rPr>
          <w:spacing w:val="-6"/>
          <w:sz w:val="28"/>
          <w:szCs w:val="28"/>
        </w:rPr>
        <w:t xml:space="preserve">в 2022 году </w:t>
      </w:r>
      <w:r>
        <w:rPr>
          <w:spacing w:val="-6"/>
          <w:sz w:val="28"/>
          <w:szCs w:val="28"/>
        </w:rPr>
        <w:t xml:space="preserve">не осуществлялось.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По состоянию на 1 января 2023</w:t>
      </w:r>
      <w:r>
        <w:rPr>
          <w:sz w:val="28"/>
          <w:szCs w:val="28"/>
        </w:rPr>
        <w:t xml:space="preserve"> года задолженность перед федеральным бюджетом по бюджетным кредитам, предоставленным Саратовской области, составила всего - </w:t>
      </w:r>
      <w:r>
        <w:rPr>
          <w:sz w:val="28"/>
          <w:szCs w:val="28"/>
        </w:rPr>
        <w:t xml:space="preserve">55793293,6</w:t>
      </w:r>
      <w:r>
        <w:rPr>
          <w:sz w:val="28"/>
          <w:szCs w:val="28"/>
        </w:rPr>
        <w:t xml:space="preserve"> тыс. рублей, в том числе: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реструктурир</w:t>
      </w:r>
      <w:r>
        <w:rPr>
          <w:sz w:val="28"/>
          <w:szCs w:val="28"/>
        </w:rPr>
        <w:t xml:space="preserve">ованная задолженность по бюджетным кредитам, предоставленным на строительство, реконструкцию, капитальный ремонт, ремонт и содержание автомобильных дорог общего пользования (за исключением автомобильных дорог федерального значения) – 2245313,8 тыс. рублей;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реструктурированная задолженность по бюджетным кредитам, предоставленным для частичного покрытия дефицита бюджета – 21276765,5 тыс. рублей;</w:t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реструктурированная задолженность по бюджетному кредиту, предоставленному для погашения бюджетных кредитов на пополнение остатков средств на счетах бюджетов субъектов Российской Федерации – 4826000,0 тыс. рублей;</w:t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задолженность по бюджетным кредитам, предоставленным в целях погашения долговых обязательств по рыночным заимствованиям области и муниципальных образований – </w:t>
      </w:r>
      <w:r>
        <w:rPr>
          <w:sz w:val="28"/>
          <w:szCs w:val="28"/>
        </w:rPr>
        <w:t xml:space="preserve">25945214,3 тыс. рублей;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задолженность по бюджетному кредиту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предоставленному</w:t>
      </w:r>
      <w:r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н</w:t>
      </w:r>
      <w:r>
        <w:rPr>
          <w:spacing w:val="-6"/>
          <w:sz w:val="28"/>
          <w:szCs w:val="28"/>
        </w:rPr>
        <w:t xml:space="preserve">а финансовое обеспечение реализации инфраструктурных проектов</w:t>
      </w:r>
      <w:r>
        <w:rPr>
          <w:spacing w:val="-6"/>
          <w:sz w:val="28"/>
          <w:szCs w:val="28"/>
        </w:rPr>
        <w:t xml:space="preserve"> – 1500000,00 тыс. рублей.</w:t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В 2022</w:t>
      </w:r>
      <w:r>
        <w:rPr>
          <w:sz w:val="28"/>
          <w:szCs w:val="28"/>
        </w:rPr>
        <w:t xml:space="preserve"> году муниципальным образованиям области предоставлены бюджетные кредиты </w:t>
      </w:r>
      <w:r>
        <w:rPr>
          <w:sz w:val="28"/>
          <w:szCs w:val="28"/>
        </w:rPr>
        <w:t xml:space="preserve">в общей сумме </w:t>
      </w:r>
      <w:r>
        <w:rPr>
          <w:sz w:val="28"/>
          <w:szCs w:val="28"/>
        </w:rPr>
        <w:t xml:space="preserve">3890163,5 тыс. рублей (д</w:t>
      </w:r>
      <w:r>
        <w:rPr>
          <w:sz w:val="28"/>
          <w:szCs w:val="28"/>
        </w:rPr>
        <w:t xml:space="preserve">ля покрытия временных ка</w:t>
      </w:r>
      <w:r>
        <w:rPr>
          <w:sz w:val="28"/>
          <w:szCs w:val="28"/>
        </w:rPr>
        <w:t xml:space="preserve">ссовых разрывов - 411050,8 тыс. рублей,</w:t>
      </w:r>
      <w:r>
        <w:t xml:space="preserve"> </w:t>
      </w:r>
      <w:r>
        <w:rPr>
          <w:sz w:val="28"/>
          <w:szCs w:val="28"/>
        </w:rPr>
        <w:t xml:space="preserve">для частичного покрытия дефицитов бюджетов</w:t>
      </w:r>
      <w:r>
        <w:rPr>
          <w:sz w:val="28"/>
          <w:szCs w:val="28"/>
        </w:rPr>
        <w:t xml:space="preserve"> – 690050,5 тыс. рублей,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погашения долговых обязательств по рыночным заимствованиям </w:t>
      </w:r>
      <w:r>
        <w:rPr>
          <w:sz w:val="28"/>
          <w:szCs w:val="28"/>
        </w:rPr>
        <w:t xml:space="preserve">– 2789062,2 тыс. рублей). </w:t>
      </w:r>
      <w:r>
        <w:rPr>
          <w:sz w:val="28"/>
          <w:szCs w:val="28"/>
        </w:rPr>
        <w:t xml:space="preserve">Просроченных долговых </w:t>
      </w:r>
      <w:r>
        <w:rPr>
          <w:sz w:val="28"/>
          <w:szCs w:val="28"/>
        </w:rPr>
        <w:t xml:space="preserve">обязательств муниципальных образований перед областным бюджетом не имеется.</w:t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Параметры государственного долга области и расх</w:t>
      </w:r>
      <w:r>
        <w:rPr>
          <w:sz w:val="28"/>
          <w:szCs w:val="28"/>
        </w:rPr>
        <w:t xml:space="preserve">одов на его обслуживание за 2022</w:t>
      </w:r>
      <w:r>
        <w:rPr>
          <w:sz w:val="28"/>
          <w:szCs w:val="28"/>
        </w:rPr>
        <w:t xml:space="preserve"> год соответствуют ограничениям, установленным Бюджетным кодексом Российской Федерации.</w:t>
      </w:r>
      <w:r/>
    </w:p>
    <w:p>
      <w:pPr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</w:r>
      <w:r/>
    </w:p>
    <w:p>
      <w:pPr>
        <w:jc w:val="center"/>
        <w:rPr>
          <w:highlight w:val="none"/>
        </w:rPr>
      </w:pPr>
      <w:r>
        <w:rPr>
          <w:rFonts w:eastAsiaTheme="minorHAnsi"/>
          <w:b/>
          <w:sz w:val="28"/>
          <w:szCs w:val="28"/>
          <w:highlight w:val="white"/>
        </w:rPr>
        <w:t xml:space="preserve">Раздел 4 «Анализ показателей бухгалтерской отчетности субъекта бюджетной отчетности»</w:t>
      </w:r>
      <w:r>
        <w:rPr>
          <w:highlight w:val="white"/>
        </w:rPr>
      </w:r>
      <w:r/>
    </w:p>
    <w:p>
      <w:pPr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За 2022 год из федерального бюджета в государственную собственнос</w:t>
      </w:r>
      <w:r>
        <w:rPr>
          <w:rFonts w:eastAsiaTheme="minorHAnsi"/>
          <w:sz w:val="28"/>
          <w:szCs w:val="28"/>
          <w:highlight w:val="white"/>
        </w:rPr>
        <w:t xml:space="preserve">ть Саратовской области и муниципальную собственность было передано и поставлено на учет имущество в сумм</w:t>
      </w:r>
      <w:r>
        <w:rPr>
          <w:rFonts w:eastAsiaTheme="minorHAnsi"/>
          <w:sz w:val="28"/>
          <w:szCs w:val="28"/>
          <w:highlight w:val="white"/>
        </w:rPr>
        <w:t xml:space="preserve">е</w:t>
      </w:r>
      <w:r>
        <w:rPr>
          <w:rFonts w:eastAsiaTheme="minorHAnsi"/>
          <w:sz w:val="28"/>
          <w:szCs w:val="28"/>
          <w:highlight w:val="white"/>
        </w:rPr>
        <w:t xml:space="preserve"> 5021557,9 тыс. рублей,</w:t>
      </w:r>
      <w:r>
        <w:rPr>
          <w:rFonts w:eastAsiaTheme="minorHAnsi"/>
          <w:sz w:val="28"/>
          <w:szCs w:val="28"/>
          <w:highlight w:val="white"/>
        </w:rPr>
        <w:t xml:space="preserve"> из бюджетов других субъектов Российской Федерации – 292955,7 тыс. рубле</w:t>
      </w:r>
      <w:r>
        <w:rPr>
          <w:rFonts w:eastAsiaTheme="minorHAnsi"/>
          <w:sz w:val="28"/>
          <w:szCs w:val="28"/>
          <w:highlight w:val="white"/>
        </w:rPr>
        <w:t xml:space="preserve">й, </w:t>
      </w:r>
      <w:r>
        <w:rPr>
          <w:rFonts w:eastAsiaTheme="minorHAnsi"/>
          <w:sz w:val="28"/>
          <w:szCs w:val="28"/>
          <w:highlight w:val="white"/>
        </w:rPr>
        <w:t xml:space="preserve">передано из государственной собственности области и мун</w:t>
      </w:r>
      <w:r>
        <w:rPr>
          <w:rFonts w:eastAsiaTheme="minorHAnsi"/>
          <w:sz w:val="28"/>
          <w:szCs w:val="28"/>
          <w:highlight w:val="white"/>
        </w:rPr>
        <w:t xml:space="preserve">иципальной в федеральную собственность имущество в сумме 3217458,</w:t>
      </w:r>
      <w:r>
        <w:rPr>
          <w:rFonts w:eastAsiaTheme="minorHAnsi"/>
          <w:sz w:val="28"/>
          <w:szCs w:val="28"/>
          <w:highlight w:val="white"/>
        </w:rPr>
        <w:t xml:space="preserve">2 тыс. рублей, в собственность других </w:t>
      </w:r>
      <w:r>
        <w:rPr>
          <w:rFonts w:eastAsiaTheme="minorHAnsi"/>
          <w:sz w:val="28"/>
          <w:szCs w:val="28"/>
          <w:highlight w:val="white"/>
        </w:rPr>
        <w:t xml:space="preserve">субъектов - 34749,5 тыс. рублей.</w:t>
      </w:r>
      <w:r>
        <w:rPr>
          <w:highlight w:val="white"/>
        </w:rPr>
      </w:r>
      <w:r/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Подробные сведения о движении нефинансовых активов представлены в приложении по форме 0503368.</w:t>
      </w:r>
      <w:r>
        <w:rPr>
          <w:highlight w:val="white"/>
        </w:rPr>
      </w:r>
      <w:r/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В течение 2022 года объем</w:t>
      </w:r>
      <w:r>
        <w:rPr>
          <w:rFonts w:eastAsiaTheme="minorHAnsi"/>
          <w:sz w:val="28"/>
          <w:szCs w:val="28"/>
          <w:highlight w:val="white"/>
        </w:rPr>
        <w:t xml:space="preserve"> кредиторской задолженности по консолидированному бюджету области увеличился на 1987890 тыс. рублей и на 1 января 2023 года составил 5521302 тыс. рублей (без учета операций по единому счету областного бюджета и расчетам по доходам).</w:t>
      </w:r>
      <w:r>
        <w:rPr>
          <w:highlight w:val="white"/>
        </w:rPr>
      </w:r>
      <w:r/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Просроченная кредито</w:t>
      </w:r>
      <w:r>
        <w:rPr>
          <w:rFonts w:eastAsiaTheme="minorHAnsi"/>
          <w:sz w:val="28"/>
          <w:szCs w:val="28"/>
          <w:highlight w:val="white"/>
        </w:rPr>
        <w:t xml:space="preserve">рская задолженность сократилась на </w:t>
      </w:r>
      <w:r>
        <w:rPr>
          <w:rFonts w:eastAsiaTheme="minorHAnsi"/>
          <w:sz w:val="28"/>
          <w:szCs w:val="28"/>
          <w:highlight w:val="white"/>
        </w:rPr>
        <w:t xml:space="preserve">63826,3 тыс. рублей </w:t>
      </w:r>
      <w:r>
        <w:rPr>
          <w:rFonts w:eastAsiaTheme="minorHAnsi"/>
          <w:sz w:val="28"/>
          <w:szCs w:val="28"/>
          <w:highlight w:val="white"/>
        </w:rPr>
        <w:t xml:space="preserve">с </w:t>
      </w:r>
      <w:r>
        <w:rPr>
          <w:rFonts w:eastAsiaTheme="minorHAnsi"/>
          <w:sz w:val="28"/>
          <w:szCs w:val="28"/>
          <w:highlight w:val="white"/>
        </w:rPr>
        <w:t xml:space="preserve">961189,9 тыс. рублей на 1 января 2022 года до 897363,6 тыс. рублей на 1 января 2023 года, в том числе просроченная кредиторская задолженность более 10 млн рублей сложилась:</w:t>
      </w:r>
      <w:r>
        <w:rPr>
          <w:highlight w:val="white"/>
        </w:rPr>
      </w:r>
      <w:r/>
    </w:p>
    <w:p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 w:eastAsiaTheme="minorHAnsi"/>
          <w:sz w:val="28"/>
          <w:szCs w:val="28"/>
          <w:highlight w:val="white"/>
        </w:rPr>
        <w:t xml:space="preserve">по 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</w:rPr>
        <w:t xml:space="preserve">Балашовскому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</w:rPr>
        <w:t xml:space="preserve"> муниципальному району</w:t>
      </w:r>
      <w:r>
        <w:rPr>
          <w:rFonts w:ascii="Times New Roman" w:hAnsi="Times New Roman" w:cs="Times New Roman" w:eastAsiaTheme="minorHAnsi"/>
          <w:sz w:val="28"/>
          <w:szCs w:val="28"/>
          <w:highlight w:val="none"/>
        </w:rPr>
        <w:t xml:space="preserve"> Саратовской области</w:t>
      </w:r>
      <w:r>
        <w:rPr>
          <w:rFonts w:ascii="Times New Roman" w:hAnsi="Times New Roman" w:cs="Times New Roman" w:eastAsiaTheme="minorHAnsi"/>
          <w:sz w:val="28"/>
          <w:szCs w:val="28"/>
          <w:highlight w:val="none"/>
        </w:rPr>
        <w:t xml:space="preserve">: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/>
    </w:p>
    <w:p>
      <w:pPr>
        <w:ind w:firstLine="720"/>
        <w:jc w:val="both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сумме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14470,0 тыс. рубле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 взысканию компенсации за исключение имущества из конкурсной массы  организации банкрота МУП 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Балашовское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ЖКХ» перед МРИФНС № 12 по Саратовской области по и/л ФС037140601 от 20.07.21 года дело №А57-6063/2009 г.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540"/>
        <w:jc w:val="both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  – в сумме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200,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 тыс. рублей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МКУ муниципального образования г.  Балашов «Городское ЖКХ» (водоканал) по уплате НДС.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 w:eastAsiaTheme="minorHAnsi"/>
          <w:sz w:val="28"/>
          <w:szCs w:val="28"/>
          <w:highlight w:val="white"/>
        </w:rPr>
        <w:t xml:space="preserve">по 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</w:rPr>
        <w:t xml:space="preserve">Вольскому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</w:rPr>
        <w:t xml:space="preserve"> муниципальному району Саратовской области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</w:rPr>
        <w:t xml:space="preserve">: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/>
    </w:p>
    <w:p>
      <w:pPr>
        <w:ind w:left="0" w:firstLine="72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- в сумме 311547,7 тыс. рублей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МКУ «Вольсктеплоэнерго»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перед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ООО                  «Газпром межрегионгаз Саратов»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за газоснабжение.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ind w:firstLine="426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Просроченная кредиторская задолженность сложилась в результате </w:t>
      </w:r>
      <w:r>
        <w:rPr>
          <w:rFonts w:ascii="Times New Roman" w:hAnsi="Times New Roman" w:cs="Times New Roman"/>
          <w:sz w:val="28"/>
          <w:szCs w:val="28"/>
        </w:rPr>
        <w:t xml:space="preserve">недопоступления</w:t>
      </w:r>
      <w:r>
        <w:rPr>
          <w:rFonts w:ascii="Times New Roman" w:hAnsi="Times New Roman" w:cs="Times New Roman"/>
          <w:sz w:val="28"/>
          <w:szCs w:val="28"/>
        </w:rPr>
        <w:t xml:space="preserve"> собственных доходов в местные бюджеты.</w:t>
      </w:r>
      <w:r>
        <w:rPr>
          <w:sz w:val="28"/>
          <w:szCs w:val="28"/>
        </w:rPr>
      </w:r>
      <w:r/>
    </w:p>
    <w:p>
      <w:pPr>
        <w:ind w:firstLine="540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Объем дебиторской задолженности по консолидированному бюджету области на 1 января 2023 года состав</w:t>
      </w:r>
      <w:r>
        <w:rPr>
          <w:rFonts w:eastAsiaTheme="minorHAnsi"/>
          <w:sz w:val="28"/>
          <w:szCs w:val="28"/>
          <w:highlight w:val="white"/>
        </w:rPr>
        <w:t xml:space="preserve">ил</w:t>
      </w:r>
      <w:r>
        <w:rPr>
          <w:rFonts w:eastAsiaTheme="minorHAnsi"/>
          <w:sz w:val="28"/>
          <w:szCs w:val="28"/>
          <w:highlight w:val="white"/>
        </w:rPr>
        <w:t xml:space="preserve"> </w:t>
      </w:r>
      <w:r>
        <w:rPr>
          <w:rFonts w:eastAsiaTheme="minorHAnsi"/>
          <w:sz w:val="28"/>
          <w:szCs w:val="28"/>
          <w:highlight w:val="white"/>
        </w:rPr>
        <w:t xml:space="preserve">17662</w:t>
      </w:r>
      <w:r>
        <w:rPr>
          <w:rFonts w:eastAsiaTheme="minorHAnsi"/>
          <w:sz w:val="28"/>
          <w:szCs w:val="28"/>
          <w:highlight w:val="white"/>
        </w:rPr>
        <w:t xml:space="preserve">0969,7 тыс. рублей.</w:t>
      </w:r>
      <w:r>
        <w:rPr>
          <w:highlight w:val="white"/>
        </w:rPr>
      </w:r>
      <w:r/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Просроченная дебиторская задолженность с 1 января 2022 года увеличилась на 2369495,9 тыс. рублей и по состоянию на 1 января 2023 года составила 6867473,3 тыс. рублей, в том числе просроченная дебиторская задолженность более 10 млн рублей сложилась:</w:t>
      </w:r>
      <w:r>
        <w:rPr>
          <w:highlight w:val="white"/>
        </w:rPr>
      </w:r>
      <w:r/>
    </w:p>
    <w:p>
      <w:pPr>
        <w:ind w:firstLine="708"/>
        <w:jc w:val="both"/>
        <w:rPr>
          <w:rFonts w:eastAsiaTheme="minorHAnsi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в сумме </w:t>
      </w:r>
      <w:r>
        <w:rPr>
          <w:rFonts w:ascii="Times New Roman" w:hAnsi="Times New Roman" w:cs="Times New Roman"/>
          <w:sz w:val="28"/>
          <w:szCs w:val="24"/>
          <w:highlight w:val="white"/>
        </w:rPr>
        <w:t xml:space="preserve">133 926</w:t>
      </w:r>
      <w:r>
        <w:rPr>
          <w:rFonts w:eastAsiaTheme="minorHAnsi"/>
          <w:sz w:val="28"/>
          <w:szCs w:val="28"/>
          <w:highlight w:val="white"/>
        </w:rPr>
        <w:t xml:space="preserve">,0</w:t>
      </w:r>
      <w:r>
        <w:rPr>
          <w:rFonts w:eastAsiaTheme="minorHAnsi"/>
          <w:sz w:val="28"/>
          <w:szCs w:val="28"/>
          <w:highlight w:val="white"/>
        </w:rPr>
        <w:t xml:space="preserve"> тыс. рублей по комитету капитального строительства Саратовской области, который на основании распоряжения Правительства Саратовской области от 07 ноября 2017 года № 3</w:t>
      </w:r>
      <w:r>
        <w:rPr>
          <w:rFonts w:eastAsiaTheme="minorHAnsi"/>
          <w:sz w:val="28"/>
          <w:szCs w:val="28"/>
          <w:highlight w:val="white"/>
        </w:rPr>
        <w:t xml:space="preserve">11-Пр находится в стадии ликвидации;</w:t>
      </w:r>
      <w:r>
        <w:rPr>
          <w:highlight w:val="white"/>
        </w:rPr>
      </w:r>
      <w:r/>
    </w:p>
    <w:p>
      <w:pPr>
        <w:ind w:firstLine="709"/>
        <w:jc w:val="both"/>
        <w:rPr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в сумме </w:t>
      </w:r>
      <w:r>
        <w:rPr>
          <w:rFonts w:ascii="PT Astra Serif" w:hAnsi="PT Astra Serif"/>
          <w:color w:val="000000"/>
          <w:sz w:val="28"/>
          <w:szCs w:val="28"/>
          <w:highlight w:val="white"/>
        </w:rPr>
        <w:t xml:space="preserve">32150,5</w:t>
      </w:r>
      <w:r>
        <w:rPr>
          <w:rFonts w:eastAsiaTheme="minorHAnsi"/>
          <w:sz w:val="28"/>
          <w:szCs w:val="28"/>
          <w:highlight w:val="white"/>
        </w:rPr>
        <w:t xml:space="preserve"> тыс. рублей по министерству молодежной политике и спорту Саратовской области в результате неисполнения обязательств контрагентами по представленным </w:t>
      </w:r>
      <w:r>
        <w:rPr>
          <w:rFonts w:eastAsiaTheme="minorHAnsi"/>
          <w:color w:val="000000"/>
          <w:sz w:val="28"/>
          <w:szCs w:val="28"/>
          <w:highlight w:val="white"/>
        </w:rPr>
        <w:t xml:space="preserve">субсидиям и грантам на развитие на территории области о</w:t>
      </w:r>
      <w:r>
        <w:rPr>
          <w:rFonts w:eastAsiaTheme="minorHAnsi"/>
          <w:color w:val="000000"/>
          <w:sz w:val="28"/>
          <w:szCs w:val="28"/>
          <w:highlight w:val="white"/>
        </w:rPr>
        <w:t xml:space="preserve">тдельных видов спорта (спортивных дисциплин);</w:t>
      </w:r>
      <w:r>
        <w:rPr>
          <w:highlight w:val="white"/>
        </w:rPr>
      </w:r>
      <w:r/>
    </w:p>
    <w:p>
      <w:pPr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rFonts w:eastAsiaTheme="minorHAnsi"/>
          <w:color w:val="000000"/>
          <w:sz w:val="28"/>
          <w:szCs w:val="28"/>
          <w:highlight w:val="white"/>
        </w:rPr>
        <w:t xml:space="preserve">в сумме 37898,1 тыс. рублей по </w:t>
      </w:r>
      <w:r>
        <w:rPr>
          <w:rFonts w:eastAsiaTheme="minorHAnsi"/>
          <w:color w:val="000000"/>
          <w:sz w:val="28"/>
          <w:szCs w:val="28"/>
          <w:highlight w:val="white"/>
        </w:rPr>
        <w:t xml:space="preserve">Балаков</w:t>
      </w:r>
      <w:r>
        <w:rPr>
          <w:rFonts w:eastAsiaTheme="minorHAnsi"/>
          <w:color w:val="000000"/>
          <w:sz w:val="28"/>
          <w:szCs w:val="28"/>
          <w:highlight w:val="white"/>
        </w:rPr>
        <w:t xml:space="preserve">скому</w:t>
      </w:r>
      <w:r>
        <w:rPr>
          <w:rFonts w:eastAsiaTheme="minorHAnsi"/>
          <w:color w:val="000000"/>
          <w:sz w:val="28"/>
          <w:szCs w:val="28"/>
          <w:highlight w:val="white"/>
        </w:rPr>
        <w:t xml:space="preserve"> муниципальному району по арендной плате;</w:t>
      </w:r>
      <w:r>
        <w:rPr>
          <w:highlight w:val="white"/>
        </w:rPr>
      </w:r>
      <w:r/>
    </w:p>
    <w:p>
      <w:pPr>
        <w:ind w:firstLine="709"/>
        <w:jc w:val="both"/>
        <w:rPr>
          <w:highlight w:val="none"/>
        </w:rPr>
      </w:pPr>
      <w:r>
        <w:rPr>
          <w:rFonts w:eastAsiaTheme="minorHAnsi"/>
          <w:color w:val="000000"/>
          <w:sz w:val="28"/>
          <w:szCs w:val="28"/>
          <w:highlight w:val="white"/>
        </w:rPr>
        <w:t xml:space="preserve">в сумме 71030,4 тыс. рублей по </w:t>
      </w:r>
      <w:r>
        <w:rPr>
          <w:rFonts w:eastAsiaTheme="minorHAnsi"/>
          <w:color w:val="000000"/>
          <w:sz w:val="28"/>
          <w:szCs w:val="28"/>
          <w:highlight w:val="white"/>
        </w:rPr>
        <w:t xml:space="preserve">Балашовскому</w:t>
      </w:r>
      <w:r>
        <w:rPr>
          <w:rFonts w:eastAsiaTheme="minorHAnsi"/>
          <w:color w:val="000000"/>
          <w:sz w:val="28"/>
          <w:szCs w:val="28"/>
          <w:highlight w:val="white"/>
        </w:rPr>
        <w:t xml:space="preserve"> муниципальному району области по платным услугам за водоснабжение;</w:t>
      </w:r>
      <w:r>
        <w:rPr>
          <w:highlight w:val="none"/>
        </w:rPr>
      </w:r>
      <w:r/>
    </w:p>
    <w:p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  <w:t xml:space="preserve">в сумме 80886,3 тыс. рублей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по Вольскому муниципальному району </w:t>
      </w:r>
      <w:r>
        <w:rPr>
          <w:rFonts w:ascii="Times New Roman" w:hAnsi="Times New Roman" w:cs="Times New Roman"/>
          <w:sz w:val="28"/>
          <w:szCs w:val="28"/>
        </w:rPr>
        <w:t xml:space="preserve"> по доходам за коммунальные услуги перед МКУ «</w:t>
      </w:r>
      <w:r>
        <w:rPr>
          <w:rFonts w:ascii="Times New Roman" w:hAnsi="Times New Roman" w:cs="Times New Roman"/>
          <w:sz w:val="28"/>
          <w:szCs w:val="28"/>
        </w:rPr>
        <w:t xml:space="preserve">Вольсктеплоэнерго</w:t>
      </w:r>
      <w:r>
        <w:rPr>
          <w:rFonts w:ascii="Times New Roman" w:hAnsi="Times New Roman" w:cs="Times New Roman"/>
          <w:sz w:val="28"/>
          <w:szCs w:val="28"/>
        </w:rPr>
        <w:t xml:space="preserve">»;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ind w:firstLine="709"/>
        <w:jc w:val="both"/>
        <w:rPr>
          <w:highlight w:val="white"/>
        </w:rPr>
      </w:pPr>
      <w:r>
        <w:rPr>
          <w:highlight w:val="white"/>
        </w:rPr>
      </w:r>
      <w:r>
        <w:rPr>
          <w:rFonts w:eastAsiaTheme="minorHAnsi"/>
          <w:color w:val="000000"/>
          <w:sz w:val="28"/>
          <w:szCs w:val="28"/>
          <w:highlight w:val="white"/>
        </w:rPr>
        <w:t xml:space="preserve">по</w:t>
      </w:r>
      <w:r>
        <w:rPr>
          <w:rFonts w:eastAsiaTheme="minorHAnsi"/>
          <w:sz w:val="28"/>
          <w:szCs w:val="28"/>
          <w:highlight w:val="white"/>
        </w:rPr>
        <w:t xml:space="preserve"> муниципальному образованию «Город Саратов»</w:t>
      </w:r>
      <w:r>
        <w:rPr>
          <w:highlight w:val="white"/>
        </w:rPr>
        <w:t xml:space="preserve">:</w:t>
      </w:r>
      <w:r>
        <w:rPr>
          <w:highlight w:val="white"/>
        </w:rPr>
      </w:r>
      <w:r/>
    </w:p>
    <w:p>
      <w:pPr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rFonts w:eastAsiaTheme="minorHAnsi"/>
          <w:color w:val="000000"/>
          <w:sz w:val="28"/>
          <w:szCs w:val="28"/>
          <w:highlight w:val="white"/>
        </w:rPr>
        <w:t xml:space="preserve">в сумме 71260,5 тыс. рублей по </w:t>
      </w:r>
      <w:r>
        <w:rPr>
          <w:rFonts w:eastAsiaTheme="minorHAnsi"/>
          <w:color w:val="000000"/>
          <w:sz w:val="28"/>
          <w:szCs w:val="28"/>
          <w:highlight w:val="white"/>
        </w:rPr>
        <w:t xml:space="preserve">услугам за </w:t>
      </w:r>
      <w:r>
        <w:rPr>
          <w:rFonts w:eastAsiaTheme="minorHAnsi"/>
          <w:color w:val="000000"/>
          <w:sz w:val="28"/>
          <w:szCs w:val="28"/>
          <w:highlight w:val="white"/>
        </w:rPr>
        <w:t xml:space="preserve">теплоэнергию</w:t>
      </w:r>
      <w:r>
        <w:rPr>
          <w:rFonts w:eastAsiaTheme="minorHAnsi"/>
          <w:color w:val="000000"/>
          <w:sz w:val="28"/>
          <w:szCs w:val="28"/>
          <w:highlight w:val="white"/>
        </w:rPr>
        <w:t xml:space="preserve">;</w:t>
      </w:r>
      <w:r>
        <w:rPr>
          <w:highlight w:val="white"/>
        </w:rPr>
      </w:r>
      <w:r/>
    </w:p>
    <w:p>
      <w:pPr>
        <w:ind w:firstLine="720"/>
        <w:jc w:val="both"/>
        <w:rPr>
          <w:rFonts w:cs="Calibri"/>
          <w:highlight w:val="white"/>
        </w:rPr>
      </w:pPr>
      <w:r>
        <w:rPr>
          <w:rFonts w:eastAsiaTheme="minorHAnsi"/>
          <w:color w:val="000000"/>
          <w:sz w:val="28"/>
          <w:szCs w:val="24"/>
          <w:highlight w:val="white"/>
        </w:rPr>
      </w:r>
      <w:r>
        <w:rPr>
          <w:rFonts w:eastAsiaTheme="minorHAnsi"/>
          <w:color w:val="000000"/>
          <w:sz w:val="28"/>
          <w:szCs w:val="24"/>
          <w:highlight w:val="white"/>
        </w:rPr>
        <w:t xml:space="preserve">в сумме 31200,4  тыс.  рублей</w:t>
      </w:r>
      <w:r>
        <w:rPr>
          <w:rFonts w:eastAsiaTheme="minorHAnsi"/>
          <w:color w:val="000000"/>
          <w:sz w:val="28"/>
          <w:szCs w:val="24"/>
          <w:highlight w:val="none"/>
        </w:rPr>
        <w:t xml:space="preserve"> за </w:t>
      </w:r>
      <w:r>
        <w:rPr>
          <w:rFonts w:eastAsiaTheme="minorHAnsi"/>
          <w:color w:val="000000"/>
          <w:sz w:val="28"/>
          <w:szCs w:val="24"/>
          <w:highlight w:val="white"/>
        </w:rPr>
        <w:t xml:space="preserve">несвоевременную оплату населением за наем муниципальных жилых помещений ;</w:t>
      </w:r>
      <w:r>
        <w:rPr>
          <w:highlight w:val="white"/>
        </w:rPr>
      </w:r>
      <w:r/>
    </w:p>
    <w:p>
      <w:pPr>
        <w:ind w:firstLine="700"/>
        <w:jc w:val="both"/>
        <w:rPr>
          <w:rFonts w:cs="Calibri"/>
          <w:highlight w:val="white"/>
        </w:rPr>
      </w:pPr>
      <w:r>
        <w:rPr>
          <w:rFonts w:eastAsiaTheme="minorHAnsi"/>
          <w:color w:val="000000"/>
          <w:sz w:val="28"/>
          <w:szCs w:val="24"/>
          <w:highlight w:val="white"/>
        </w:rPr>
        <w:t xml:space="preserve">в сумме 12780,8 тыс. рублей за</w:t>
      </w:r>
      <w:r>
        <w:rPr>
          <w:rFonts w:eastAsiaTheme="minorHAnsi"/>
          <w:color w:val="000000"/>
          <w:sz w:val="28"/>
          <w:szCs w:val="24"/>
          <w:highlight w:val="white"/>
        </w:rPr>
        <w:t xml:space="preserve"> неустойку за просрочку ввода объекта в эксплуатацию с ООО «Волга-Сервис» ;</w:t>
      </w:r>
      <w:r>
        <w:rPr>
          <w:highlight w:val="white"/>
        </w:rPr>
      </w:r>
      <w:r/>
    </w:p>
    <w:p>
      <w:pPr>
        <w:ind w:firstLine="720"/>
        <w:jc w:val="both"/>
        <w:rPr>
          <w:rFonts w:cs="Calibri"/>
          <w:highlight w:val="white"/>
        </w:rPr>
      </w:pPr>
      <w:r>
        <w:rPr>
          <w:rFonts w:eastAsiaTheme="minorHAnsi"/>
          <w:color w:val="000000"/>
          <w:sz w:val="28"/>
          <w:szCs w:val="24"/>
          <w:highlight w:val="white"/>
        </w:rPr>
      </w:r>
      <w:r>
        <w:rPr>
          <w:rFonts w:eastAsiaTheme="minorHAnsi"/>
          <w:color w:val="000000"/>
          <w:sz w:val="28"/>
          <w:szCs w:val="24"/>
          <w:highlight w:val="white"/>
        </w:rPr>
        <w:t xml:space="preserve">в сумме 174946,2тыс. рублей</w:t>
      </w:r>
      <w:r>
        <w:rPr>
          <w:rFonts w:eastAsiaTheme="minorHAnsi"/>
          <w:color w:val="000000"/>
          <w:sz w:val="28"/>
          <w:szCs w:val="24"/>
          <w:highlight w:val="white"/>
        </w:rPr>
        <w:t xml:space="preserve"> по вступившим в силу судебным решениям о взыскании сумм в пользу бюджета  муни</w:t>
      </w:r>
      <w:r>
        <w:rPr>
          <w:rFonts w:eastAsiaTheme="minorHAnsi"/>
          <w:color w:val="000000"/>
          <w:sz w:val="28"/>
          <w:szCs w:val="24"/>
          <w:highlight w:val="white"/>
        </w:rPr>
        <w:t xml:space="preserve">ципального образования «Город Саратов» и не перечисленные ответчиками на 01.01.2023 года.</w:t>
      </w:r>
      <w:r>
        <w:rPr>
          <w:highlight w:val="white"/>
        </w:rPr>
      </w:r>
      <w:r/>
    </w:p>
    <w:p>
      <w:pPr>
        <w:ind w:firstLine="600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Подробные сведения по дебиторской и кредиторской задолженности представ</w:t>
      </w:r>
      <w:r>
        <w:rPr>
          <w:rFonts w:eastAsiaTheme="minorHAnsi"/>
          <w:sz w:val="28"/>
          <w:szCs w:val="28"/>
          <w:highlight w:val="white"/>
        </w:rPr>
        <w:t xml:space="preserve">лены в приложении по форме 0503369.</w:t>
      </w:r>
      <w:r>
        <w:rPr>
          <w:highlight w:val="white"/>
        </w:rPr>
      </w:r>
      <w:r/>
    </w:p>
    <w:p>
      <w:pPr>
        <w:ind w:firstLine="709"/>
        <w:jc w:val="both"/>
        <w:spacing w:line="283" w:lineRule="atLeast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В Сведениях об изменении остатков валюты баланса (ф. 0503373) отражены остатки по счетам, сформированные с учетом:</w:t>
      </w:r>
      <w:r>
        <w:rPr>
          <w:highlight w:val="white"/>
        </w:rPr>
      </w:r>
      <w:r/>
    </w:p>
    <w:p>
      <w:pPr>
        <w:ind w:firstLine="540"/>
        <w:jc w:val="both"/>
        <w:rPr>
          <w:rFonts w:eastAsiaTheme="minorHAnsi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none"/>
          <w:lang w:eastAsia="en-US"/>
        </w:rPr>
      </w:r>
      <w:r>
        <w:rPr>
          <w:rFonts w:eastAsiaTheme="minorHAnsi"/>
          <w:sz w:val="28"/>
          <w:szCs w:val="28"/>
          <w:highlight w:val="none"/>
          <w:lang w:eastAsia="en-US"/>
        </w:rPr>
        <w:t xml:space="preserve">р</w:t>
      </w:r>
      <w:r>
        <w:rPr>
          <w:rFonts w:eastAsiaTheme="minorHAnsi"/>
          <w:sz w:val="28"/>
          <w:szCs w:val="28"/>
          <w:highlight w:val="none"/>
          <w:lang w:eastAsia="en-US"/>
        </w:rPr>
        <w:t xml:space="preserve">еорганизации (слияние, присоединение, разделение, выделение, преобразование), ликвидации субъекта бюджетной отчетности, изменении типов государственных (муниципальных) учреждений на начало финансового года, изменение подведомственности государственных (мун</w:t>
      </w:r>
      <w:r>
        <w:rPr>
          <w:rFonts w:eastAsiaTheme="minorHAnsi"/>
          <w:sz w:val="28"/>
          <w:szCs w:val="28"/>
          <w:highlight w:val="none"/>
          <w:lang w:eastAsia="en-US"/>
        </w:rPr>
        <w:t xml:space="preserve">иципальных) учреждений</w:t>
      </w:r>
      <w:r>
        <w:rPr>
          <w:rFonts w:eastAsiaTheme="minorHAnsi"/>
          <w:sz w:val="28"/>
          <w:szCs w:val="28"/>
          <w:highlight w:val="none"/>
          <w:lang w:eastAsia="en-US"/>
        </w:rPr>
        <w:t xml:space="preserve">;</w:t>
      </w:r>
      <w:r>
        <w:rPr>
          <w:rFonts w:eastAsiaTheme="minorHAnsi"/>
          <w:sz w:val="28"/>
          <w:szCs w:val="28"/>
          <w:highlight w:val="none"/>
          <w:lang w:eastAsia="en-US"/>
        </w:rPr>
      </w:r>
      <w:r/>
    </w:p>
    <w:p>
      <w:pPr>
        <w:ind w:firstLine="540"/>
        <w:jc w:val="both"/>
        <w:rPr>
          <w:rFonts w:eastAsiaTheme="minorHAnsi"/>
          <w:sz w:val="28"/>
          <w:szCs w:val="28"/>
          <w:highlight w:val="none"/>
          <w:lang w:eastAsia="en-US"/>
        </w:rPr>
      </w:pPr>
      <w:r>
        <w:rPr>
          <w:rFonts w:eastAsiaTheme="minorHAnsi"/>
          <w:sz w:val="28"/>
          <w:szCs w:val="28"/>
          <w:highlight w:val="white"/>
          <w:lang w:eastAsia="en-US"/>
        </w:rPr>
        <w:t xml:space="preserve">исправлений ошибок прошлых лет;</w:t>
      </w:r>
      <w:r>
        <w:rPr>
          <w:highlight w:val="white"/>
        </w:rPr>
      </w:r>
      <w:r/>
    </w:p>
    <w:p>
      <w:pPr>
        <w:ind w:firstLine="540"/>
        <w:jc w:val="both"/>
        <w:rPr>
          <w:highlight w:val="none"/>
        </w:rPr>
      </w:pPr>
      <w:r>
        <w:rPr>
          <w:rFonts w:eastAsiaTheme="minorHAnsi"/>
          <w:sz w:val="28"/>
          <w:szCs w:val="28"/>
          <w:highlight w:val="white"/>
        </w:rPr>
        <w:t xml:space="preserve">пересчета показателей отчетности;</w:t>
      </w:r>
      <w:r>
        <w:rPr>
          <w:highlight w:val="white"/>
        </w:rPr>
      </w:r>
      <w:r/>
    </w:p>
    <w:p>
      <w:pPr>
        <w:ind w:firstLine="540"/>
        <w:jc w:val="both"/>
        <w:rPr>
          <w:rFonts w:eastAsiaTheme="minorHAnsi"/>
          <w:sz w:val="28"/>
          <w:szCs w:val="28"/>
          <w:highlight w:val="none"/>
        </w:rPr>
      </w:pPr>
      <w:r>
        <w:rPr>
          <w:rFonts w:eastAsiaTheme="minorHAnsi"/>
          <w:sz w:val="28"/>
          <w:szCs w:val="28"/>
          <w:highlight w:val="white"/>
        </w:rPr>
        <w:t xml:space="preserve">исправлений ошибок прошлых лет по результатам внешнего (внутреннег</w:t>
      </w:r>
      <w:r>
        <w:rPr>
          <w:rFonts w:eastAsiaTheme="minorHAnsi"/>
          <w:sz w:val="28"/>
          <w:szCs w:val="28"/>
          <w:highlight w:val="white"/>
        </w:rPr>
        <w:t xml:space="preserve">о) государственного (муниципального) финансового </w:t>
      </w:r>
      <w:r>
        <w:rPr>
          <w:rFonts w:eastAsiaTheme="minorHAnsi"/>
          <w:sz w:val="28"/>
          <w:szCs w:val="28"/>
          <w:highlight w:val="white"/>
        </w:rPr>
        <w:t xml:space="preserve">контроля;</w:t>
      </w:r>
      <w:r>
        <w:rPr>
          <w:highlight w:val="white"/>
        </w:rPr>
      </w:r>
      <w:r/>
    </w:p>
    <w:p>
      <w:pPr>
        <w:ind w:firstLine="540"/>
        <w:jc w:val="both"/>
        <w:rPr>
          <w:highlight w:val="yellow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  <w:t xml:space="preserve">иных причин, предусмотренных законодательством Российской Федерации.</w:t>
      </w:r>
      <w:r>
        <w:rPr>
          <w:sz w:val="28"/>
          <w:szCs w:val="28"/>
          <w:highlight w:val="yellow"/>
        </w:rPr>
      </w:r>
      <w:r/>
    </w:p>
    <w:p>
      <w:pPr>
        <w:ind w:firstLine="540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none"/>
        </w:rPr>
      </w:r>
      <w:r>
        <w:rPr>
          <w:rFonts w:eastAsiaTheme="minorHAnsi"/>
          <w:sz w:val="28"/>
          <w:szCs w:val="28"/>
          <w:highlight w:val="none"/>
        </w:rPr>
      </w:r>
      <w:r/>
    </w:p>
    <w:p>
      <w:pPr>
        <w:ind w:firstLine="540"/>
        <w:jc w:val="center"/>
        <w:rPr>
          <w:highlight w:val="none"/>
        </w:rPr>
      </w:pPr>
      <w:r>
        <w:rPr>
          <w:rFonts w:eastAsiaTheme="minorHAnsi"/>
          <w:b/>
          <w:sz w:val="28"/>
          <w:szCs w:val="28"/>
          <w:highlight w:val="white"/>
        </w:rPr>
        <w:t xml:space="preserve">Раздел 5 «Прочие вопросы деятельности субъекта бюджетной отчетности»</w:t>
      </w:r>
      <w:r>
        <w:rPr>
          <w:highlight w:val="white"/>
        </w:rPr>
      </w:r>
      <w:r/>
    </w:p>
    <w:p>
      <w:pPr>
        <w:ind w:firstLine="540"/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Бухгалтерский учет осуществля</w:t>
      </w:r>
      <w:r>
        <w:rPr>
          <w:rFonts w:eastAsiaTheme="minorHAnsi"/>
          <w:sz w:val="28"/>
          <w:szCs w:val="28"/>
          <w:highlight w:val="white"/>
        </w:rPr>
        <w:t xml:space="preserve">ется в соответствии с Федеральным законом от 6 декабря 2011 года № 402-ФЗ «О бухгалтерском учете», Бюджетным кодексом Российской Федерации, приказом Министерства финансов Российской Федерации от 1-го декабря 2010 года № 157н «Об утверждении Единого плана с</w:t>
      </w:r>
      <w:r>
        <w:rPr>
          <w:rFonts w:eastAsiaTheme="minorHAnsi"/>
          <w:sz w:val="28"/>
          <w:szCs w:val="28"/>
          <w:highlight w:val="white"/>
        </w:rPr>
        <w:t xml:space="preserve">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</w:t>
      </w:r>
      <w:r>
        <w:rPr>
          <w:rFonts w:eastAsiaTheme="minorHAnsi"/>
          <w:sz w:val="28"/>
          <w:szCs w:val="28"/>
          <w:highlight w:val="white"/>
        </w:rPr>
        <w:t xml:space="preserve"> Инструкции по его применению», с применением федеральных стандартов, в том числе вступивших в действие с 1 января 2022 года.</w:t>
      </w:r>
      <w:r>
        <w:rPr>
          <w:highlight w:val="white"/>
        </w:rPr>
      </w:r>
      <w:r/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Бухгалтерская отчетность составляется в соответствии с требованиями приказа Министерства финансов Российской Федерации от 28 декаб</w:t>
      </w:r>
      <w:r>
        <w:rPr>
          <w:rFonts w:eastAsiaTheme="minorHAnsi"/>
          <w:sz w:val="28"/>
          <w:szCs w:val="28"/>
          <w:highlight w:val="white"/>
        </w:rPr>
        <w:t xml:space="preserve">ря </w:t>
      </w:r>
      <w:r>
        <w:rPr>
          <w:rFonts w:eastAsiaTheme="minorHAnsi"/>
          <w:sz w:val="28"/>
          <w:szCs w:val="28"/>
          <w:highlight w:val="white"/>
        </w:rPr>
        <w:br/>
        <w:t xml:space="preserve">2010 года № 191н «Об утверждении Инструкции о порядке составления и предс</w:t>
      </w:r>
      <w:r>
        <w:rPr>
          <w:rFonts w:eastAsiaTheme="minorHAnsi"/>
          <w:sz w:val="28"/>
          <w:szCs w:val="28"/>
          <w:highlight w:val="white"/>
        </w:rPr>
        <w:t xml:space="preserve">тавления годовой, квартальной и месячной отчетности об исполнении бюджетов бюджетной системы Российской Федерации» </w:t>
      </w:r>
      <w:r>
        <w:rPr>
          <w:rFonts w:eastAsiaTheme="minorHAnsi"/>
          <w:sz w:val="28"/>
          <w:szCs w:val="28"/>
          <w:highlight w:val="white"/>
        </w:rPr>
        <w:t xml:space="preserve">и</w:t>
      </w:r>
      <w:r>
        <w:rPr>
          <w:rFonts w:eastAsiaTheme="minorHAnsi"/>
          <w:sz w:val="28"/>
          <w:szCs w:val="28"/>
          <w:highlight w:val="white"/>
        </w:rPr>
        <w:t xml:space="preserve"> совместными письмами Министерства финансов Российской Федераци</w:t>
      </w:r>
      <w:r>
        <w:rPr>
          <w:rFonts w:eastAsiaTheme="minorHAnsi"/>
          <w:sz w:val="28"/>
          <w:szCs w:val="28"/>
          <w:highlight w:val="white"/>
        </w:rPr>
        <w:t xml:space="preserve">и от</w:t>
      </w:r>
      <w:r>
        <w:rPr>
          <w:rFonts w:eastAsiaTheme="minorHAnsi"/>
          <w:sz w:val="28"/>
          <w:szCs w:val="28"/>
          <w:highlight w:val="white"/>
        </w:rPr>
        <w:t xml:space="preserve"> 12 декабря 2022 </w:t>
      </w:r>
      <w:r>
        <w:rPr>
          <w:rFonts w:eastAsiaTheme="minorHAnsi"/>
          <w:sz w:val="28"/>
          <w:szCs w:val="28"/>
          <w:highlight w:val="white"/>
        </w:rPr>
        <w:br/>
        <w:t xml:space="preserve">№ 02-06-07/121653 и Федерального казначейства № 07-04-05/02-31103 </w:t>
      </w:r>
      <w:r>
        <w:rPr>
          <w:rFonts w:eastAsiaTheme="minorHAnsi"/>
          <w:sz w:val="28"/>
          <w:szCs w:val="28"/>
          <w:highlight w:val="white"/>
        </w:rPr>
        <w:br/>
        <w:t xml:space="preserve">«О дополнительных критериях по раскрытию информации при составлении и представлении годовой консолидированной бюджетной отчетности, годовой консолидированной  бухгалтер</w:t>
      </w:r>
      <w:r>
        <w:rPr>
          <w:rFonts w:eastAsiaTheme="minorHAnsi"/>
          <w:sz w:val="28"/>
          <w:szCs w:val="28"/>
          <w:highlight w:val="white"/>
        </w:rPr>
        <w:t xml:space="preserve">ской отчетности государственных бюджетных и автономных учреждений главными администраторами средств федерального бюджета за 2022 год», Министерства финансов Российской Федерации от 12 декабря 2022 года № 02-06-07/121658 и Федерального казначейства № 07-04-</w:t>
      </w:r>
      <w:r>
        <w:rPr>
          <w:rFonts w:eastAsiaTheme="minorHAnsi"/>
          <w:sz w:val="28"/>
          <w:szCs w:val="28"/>
          <w:highlight w:val="white"/>
        </w:rPr>
        <w:t xml:space="preserve">05/02-31108  «О дополнительных критериях по раскрытию информации при составлении и представлении годовой бюджетной отчетности, консолидированной бухгалтерской отчетности государственных (муниципальных) бюджетных и автономных учреждений финансовыми органами</w:t>
      </w:r>
      <w:r>
        <w:rPr>
          <w:rFonts w:eastAsiaTheme="minorHAnsi"/>
          <w:sz w:val="28"/>
          <w:szCs w:val="28"/>
          <w:highlight w:val="white"/>
        </w:rPr>
        <w:t xml:space="preserve"> субъектов Российской Федерации и органами управления государственными внебюджетными фондами за 2022 год».</w:t>
      </w:r>
      <w:r>
        <w:rPr>
          <w:highlight w:val="white"/>
        </w:rPr>
      </w:r>
      <w:r/>
    </w:p>
    <w:p>
      <w:pPr>
        <w:ind w:firstLine="560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В справке по заключению счетов бюджетного учета отчетного финансового года (ф. 0503110) начислены доходы </w:t>
      </w:r>
      <w:r>
        <w:rPr>
          <w:rFonts w:eastAsiaTheme="minorHAnsi"/>
          <w:color w:val="000000"/>
          <w:sz w:val="28"/>
          <w:szCs w:val="28"/>
          <w:highlight w:val="white"/>
        </w:rPr>
        <w:t xml:space="preserve">текущего финансового года</w:t>
      </w:r>
      <w:r>
        <w:rPr>
          <w:rFonts w:eastAsiaTheme="minorHAnsi"/>
          <w:sz w:val="28"/>
          <w:szCs w:val="28"/>
          <w:highlight w:val="white"/>
        </w:rPr>
        <w:t xml:space="preserve"> по номеру счета бю</w:t>
      </w:r>
      <w:r>
        <w:rPr>
          <w:rFonts w:eastAsiaTheme="minorHAnsi"/>
          <w:sz w:val="28"/>
          <w:szCs w:val="28"/>
          <w:highlight w:val="white"/>
        </w:rPr>
        <w:t xml:space="preserve">джетного учета:</w:t>
      </w:r>
      <w:r>
        <w:rPr>
          <w:highlight w:val="white"/>
        </w:rPr>
      </w:r>
      <w:r/>
    </w:p>
    <w:p>
      <w:pPr>
        <w:ind w:firstLine="560"/>
        <w:jc w:val="both"/>
        <w:rPr>
          <w:color w:val="000000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- 140110191 </w:t>
      </w:r>
      <w:r>
        <w:rPr>
          <w:rFonts w:eastAsiaTheme="minorHAnsi"/>
          <w:color w:val="000000"/>
          <w:sz w:val="28"/>
          <w:szCs w:val="28"/>
          <w:highlight w:val="white"/>
        </w:rPr>
        <w:t xml:space="preserve">в сумме 4650838,8 тыс. рублей отражены безвозмездные </w:t>
      </w:r>
      <w:r>
        <w:rPr>
          <w:rFonts w:eastAsiaTheme="minorHAnsi"/>
          <w:color w:val="000000"/>
          <w:sz w:val="28"/>
          <w:szCs w:val="28"/>
          <w:highlight w:val="white"/>
        </w:rPr>
        <w:t xml:space="preserve">неденежные</w:t>
      </w:r>
      <w:r>
        <w:rPr>
          <w:rFonts w:eastAsiaTheme="minorHAnsi"/>
          <w:color w:val="000000"/>
          <w:sz w:val="28"/>
          <w:szCs w:val="28"/>
          <w:highlight w:val="white"/>
        </w:rPr>
        <w:t xml:space="preserve"> поступления от сектора государственного управления и органов государственного сектора</w:t>
      </w:r>
      <w:r>
        <w:rPr>
          <w:rFonts w:eastAsiaTheme="minorHAnsi"/>
          <w:color w:val="000000"/>
          <w:sz w:val="28"/>
          <w:szCs w:val="28"/>
          <w:highlight w:val="white"/>
        </w:rPr>
        <w:t xml:space="preserve">;</w:t>
      </w:r>
      <w:r>
        <w:rPr>
          <w:highlight w:val="white"/>
        </w:rPr>
      </w:r>
      <w:r/>
    </w:p>
    <w:p>
      <w:pPr>
        <w:ind w:firstLine="560"/>
        <w:jc w:val="both"/>
        <w:rPr>
          <w:color w:val="000000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- 140110195 в сумме </w:t>
      </w:r>
      <w:r>
        <w:rPr>
          <w:rFonts w:eastAsiaTheme="minorHAnsi"/>
          <w:color w:val="000000"/>
          <w:sz w:val="28"/>
          <w:highlight w:val="white"/>
        </w:rPr>
        <w:t xml:space="preserve">2230810,3</w:t>
      </w:r>
      <w:r>
        <w:rPr>
          <w:rFonts w:eastAsiaTheme="minorHAnsi"/>
          <w:sz w:val="28"/>
          <w:szCs w:val="28"/>
          <w:highlight w:val="white"/>
        </w:rPr>
        <w:t xml:space="preserve"> тыс. рублей</w:t>
      </w:r>
      <w:r>
        <w:rPr>
          <w:rFonts w:eastAsiaTheme="minorHAnsi"/>
          <w:sz w:val="28"/>
          <w:szCs w:val="28"/>
          <w:highlight w:val="white"/>
        </w:rPr>
        <w:t xml:space="preserve"> </w:t>
      </w:r>
      <w:r>
        <w:rPr>
          <w:rFonts w:eastAsiaTheme="minorHAnsi"/>
          <w:color w:val="000000"/>
          <w:sz w:val="28"/>
          <w:szCs w:val="28"/>
          <w:highlight w:val="white"/>
        </w:rPr>
        <w:t xml:space="preserve">отражены </w:t>
      </w:r>
      <w:r>
        <w:rPr>
          <w:rFonts w:eastAsiaTheme="minorHAnsi"/>
          <w:sz w:val="28"/>
          <w:szCs w:val="28"/>
          <w:highlight w:val="white"/>
        </w:rPr>
        <w:t xml:space="preserve">безвозмездно полученные земельные участки, движимое и недвижимое имущество</w:t>
      </w:r>
      <w:r>
        <w:rPr>
          <w:rFonts w:eastAsiaTheme="minorHAnsi"/>
          <w:color w:val="000000"/>
          <w:sz w:val="28"/>
          <w:highlight w:val="white"/>
        </w:rPr>
        <w:t xml:space="preserve"> от сектора гос</w:t>
      </w:r>
      <w:r>
        <w:rPr>
          <w:rFonts w:eastAsiaTheme="minorHAnsi"/>
          <w:color w:val="000000"/>
          <w:sz w:val="28"/>
          <w:highlight w:val="white"/>
        </w:rPr>
        <w:t xml:space="preserve">ударственного управления и органов государственного сектора</w:t>
      </w:r>
      <w:r>
        <w:rPr>
          <w:rFonts w:eastAsiaTheme="minorHAnsi"/>
          <w:sz w:val="28"/>
          <w:szCs w:val="28"/>
          <w:highlight w:val="white"/>
        </w:rPr>
        <w:t xml:space="preserve">;</w:t>
      </w:r>
      <w:r>
        <w:rPr>
          <w:highlight w:val="white"/>
        </w:rPr>
      </w:r>
      <w:r/>
    </w:p>
    <w:p>
      <w:pPr>
        <w:ind w:firstLine="560"/>
        <w:jc w:val="both"/>
        <w:rPr>
          <w:highlight w:val="none"/>
        </w:rPr>
      </w:pPr>
      <w:r>
        <w:rPr>
          <w:rFonts w:eastAsiaTheme="minorHAnsi"/>
          <w:sz w:val="28"/>
          <w:szCs w:val="28"/>
          <w:highlight w:val="white"/>
        </w:rPr>
        <w:t xml:space="preserve">-</w:t>
      </w:r>
      <w:r>
        <w:rPr>
          <w:rFonts w:eastAsiaTheme="minorHAnsi"/>
          <w:color w:val="000000"/>
          <w:sz w:val="28"/>
          <w:highlight w:val="white"/>
        </w:rPr>
        <w:t xml:space="preserve"> 140110199 в сумме 9083298,4 тыс. рублей отражены неразграниченные земельные участки, оприходованный металлолом, а также иные нефинансовые активы, выявленные в результате проведения инвент</w:t>
      </w:r>
      <w:r>
        <w:rPr>
          <w:rFonts w:eastAsiaTheme="minorHAnsi"/>
          <w:color w:val="000000"/>
          <w:sz w:val="28"/>
          <w:highlight w:val="white"/>
        </w:rPr>
        <w:t xml:space="preserve">аризации.</w:t>
      </w:r>
      <w:r>
        <w:rPr>
          <w:highlight w:val="white"/>
        </w:rPr>
      </w:r>
      <w:r/>
    </w:p>
    <w:p>
      <w:pPr>
        <w:ind w:left="0" w:right="0" w:firstLine="720"/>
        <w:jc w:val="both"/>
        <w:spacing w:before="0" w:after="0"/>
        <w:shd w:val="clear" w:color="fcfcfc" w:fill="fcfcfc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Arial" w:cs="PT Astra Serif"/>
          <w:color w:val="232627"/>
          <w:sz w:val="28"/>
          <w:szCs w:val="28"/>
          <w:highlight w:val="none"/>
        </w:rPr>
        <w:t xml:space="preserve">Кроме того, в форме 0503110 Справка по заключению счетов бюджетного учета отчетного финансового года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none"/>
        </w:rPr>
        <w:t xml:space="preserve">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none"/>
        </w:rPr>
        <w:t xml:space="preserve">содержатся показатели:</w:t>
      </w:r>
      <w:r>
        <w:rPr>
          <w:rFonts w:ascii="PT Astra Serif" w:hAnsi="PT Astra Serif" w:cs="PT Astra Serif"/>
          <w:sz w:val="28"/>
          <w:szCs w:val="28"/>
        </w:rPr>
      </w:r>
      <w:r/>
    </w:p>
    <w:p>
      <w:pPr>
        <w:ind w:left="0" w:right="0" w:firstLine="720"/>
        <w:jc w:val="both"/>
        <w:spacing w:before="0" w:after="0"/>
        <w:shd w:val="clear" w:color="fcfcfc" w:fill="fcfcfc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Arial" w:cs="PT Astra Serif"/>
          <w:color w:val="232627"/>
          <w:sz w:val="28"/>
          <w:szCs w:val="28"/>
          <w:highlight w:val="none"/>
        </w:rPr>
        <w:t xml:space="preserve">по аналитической группе подвида доходов бюджета 197 «Безвозмездные межбюджетные неденежные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none"/>
        </w:rPr>
        <w:t xml:space="preserve">поступления от бюджетных (автономных) учреждений» коду счета 1 401 10 191 «Безвозмездные неденежные</w:t>
      </w:r>
      <w:r>
        <w:t xml:space="preserve">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none"/>
        </w:rPr>
        <w:t xml:space="preserve">поступления текущего характера от сектора государственного управления и организаций государственного</w:t>
      </w:r>
      <w:r>
        <w:t xml:space="preserve">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none"/>
        </w:rPr>
        <w:t xml:space="preserve">сектора» получение нефинансовых активов от федеральных государственных бюджетных</w:t>
      </w:r>
      <w:r>
        <w:t xml:space="preserve">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none"/>
        </w:rPr>
        <w:t xml:space="preserve">учреждений в сумме 19 941 132 рубля 17 копеек;</w:t>
      </w:r>
      <w:r/>
      <w:r>
        <w:rPr>
          <w:rFonts w:ascii="PT Astra Serif" w:hAnsi="PT Astra Serif" w:cs="PT Astra Serif"/>
          <w:sz w:val="28"/>
          <w:szCs w:val="28"/>
        </w:rPr>
      </w:r>
    </w:p>
    <w:p>
      <w:pPr>
        <w:ind w:left="0" w:right="0" w:firstLine="720"/>
        <w:jc w:val="both"/>
        <w:spacing w:before="0" w:after="0"/>
        <w:shd w:val="clear" w:color="fcfcfc" w:fill="fcfcfc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Arial" w:cs="PT Astra Serif"/>
          <w:color w:val="232627"/>
          <w:sz w:val="28"/>
          <w:szCs w:val="28"/>
          <w:highlight w:val="none"/>
        </w:rPr>
        <w:t xml:space="preserve">по аналитической группе подвида доходов бюджета 197 «Безвозмездные межбюджетные неденежные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/>
      <w:r>
        <w:rPr>
          <w:rFonts w:ascii="PT Astra Serif" w:hAnsi="PT Astra Serif" w:eastAsia="Arial" w:cs="PT Astra Serif"/>
          <w:color w:val="232627"/>
          <w:sz w:val="28"/>
          <w:szCs w:val="28"/>
          <w:highlight w:val="none"/>
        </w:rPr>
        <w:t xml:space="preserve">поступления от бюджетных (автономных) учреждений» коду счета 1 401 10 195 «Безвозмездные неденежные</w:t>
      </w:r>
      <w:r>
        <w:rPr>
          <w:rFonts w:ascii="PT Astra Serif" w:hAnsi="PT Astra Serif" w:cs="PT Astra Serif"/>
          <w:sz w:val="28"/>
          <w:szCs w:val="28"/>
        </w:rPr>
      </w:r>
      <w:r>
        <w:t xml:space="preserve">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none"/>
        </w:rPr>
        <w:t xml:space="preserve">поступления капитального характера от сектора государственного управления и организаций</w:t>
      </w:r>
      <w:r>
        <w:rPr>
          <w:rFonts w:ascii="PT Astra Serif" w:hAnsi="PT Astra Serif" w:cs="PT Astra Serif"/>
          <w:sz w:val="28"/>
          <w:szCs w:val="28"/>
        </w:rPr>
      </w:r>
      <w:r/>
      <w:r>
        <w:rPr>
          <w:rFonts w:ascii="PT Astra Serif" w:hAnsi="PT Astra Serif" w:cs="PT Astra Serif"/>
          <w:sz w:val="28"/>
          <w:szCs w:val="28"/>
        </w:rPr>
      </w:r>
    </w:p>
    <w:p>
      <w:pPr>
        <w:ind w:left="0" w:right="0" w:firstLine="0"/>
        <w:jc w:val="both"/>
        <w:spacing w:before="0" w:after="0"/>
        <w:shd w:val="clear" w:color="fcfcfc" w:fill="fcfcfc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Arial" w:cs="PT Astra Serif"/>
          <w:color w:val="232627"/>
          <w:sz w:val="28"/>
          <w:szCs w:val="28"/>
          <w:highlight w:val="none"/>
        </w:rPr>
        <w:t xml:space="preserve">государственного сектора» получение нефинансовых активов от федеральных государственных автономных и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none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</w:r>
      <w:r/>
      <w:r>
        <w:rPr>
          <w:rFonts w:ascii="PT Astra Serif" w:hAnsi="PT Astra Serif" w:eastAsia="Arial" w:cs="PT Astra Serif"/>
          <w:color w:val="232627"/>
          <w:sz w:val="28"/>
          <w:szCs w:val="28"/>
          <w:highlight w:val="none"/>
        </w:rPr>
        <w:t xml:space="preserve">бюджетных учреждений в сумме 173 979 011 рублей 50 копеек;</w:t>
      </w:r>
      <w:r>
        <w:rPr>
          <w:rFonts w:ascii="PT Astra Serif" w:hAnsi="PT Astra Serif" w:cs="PT Astra Serif"/>
          <w:sz w:val="28"/>
          <w:szCs w:val="28"/>
        </w:rPr>
      </w:r>
      <w:r/>
      <w:r>
        <w:rPr>
          <w:rFonts w:ascii="PT Astra Serif" w:hAnsi="PT Astra Serif" w:cs="PT Astra Serif"/>
          <w:sz w:val="28"/>
          <w:szCs w:val="28"/>
        </w:rPr>
      </w:r>
    </w:p>
    <w:p>
      <w:pPr>
        <w:ind w:left="0" w:right="0" w:firstLine="720"/>
        <w:jc w:val="both"/>
        <w:spacing w:before="0" w:after="0"/>
        <w:shd w:val="clear" w:color="fcfcfc" w:fill="fcfcfc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Arial" w:cs="PT Astra Serif"/>
          <w:color w:val="232627"/>
          <w:sz w:val="28"/>
          <w:szCs w:val="28"/>
          <w:highlight w:val="none"/>
        </w:rPr>
        <w:t xml:space="preserve">по коду вида расходов 807 «Безвозмездные межбюджетные неденежные передачи бюджетным (автономным)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/>
      <w:r>
        <w:rPr>
          <w:rFonts w:ascii="PT Astra Serif" w:hAnsi="PT Astra Serif" w:eastAsia="Arial" w:cs="PT Astra Serif"/>
          <w:color w:val="232627"/>
          <w:sz w:val="28"/>
          <w:szCs w:val="28"/>
          <w:highlight w:val="none"/>
        </w:rPr>
        <w:t xml:space="preserve">учреждениям» коду счета 1 401 20 254 «Расходы на перечисления капитального характера другим бюджетам</w:t>
      </w:r>
      <w:r>
        <w:rPr>
          <w:rFonts w:ascii="PT Astra Serif" w:hAnsi="PT Astra Serif" w:cs="PT Astra Serif"/>
          <w:sz w:val="28"/>
          <w:szCs w:val="28"/>
        </w:rPr>
      </w:r>
      <w:r>
        <w:t xml:space="preserve">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none"/>
        </w:rPr>
        <w:t xml:space="preserve">бюджетной системы Российской Федерации» передача нефинансовых активов федеральному государственному</w:t>
      </w:r>
      <w:r>
        <w:rPr>
          <w:rFonts w:ascii="PT Astra Serif" w:hAnsi="PT Astra Serif" w:cs="PT Astra Serif"/>
          <w:sz w:val="28"/>
          <w:szCs w:val="28"/>
        </w:rPr>
      </w:r>
      <w:r>
        <w:t xml:space="preserve"> 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none"/>
        </w:rPr>
        <w:t xml:space="preserve">бюджетному учреждению в сумме 54 450 рублей 00 копеек. 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/>
      <w:r>
        <w:rPr>
          <w:rFonts w:ascii="PT Astra Serif" w:hAnsi="PT Astra Serif" w:cs="PT Astra Serif"/>
          <w:sz w:val="28"/>
          <w:szCs w:val="28"/>
        </w:rPr>
      </w:r>
    </w:p>
    <w:p>
      <w:pPr>
        <w:ind w:firstLine="560"/>
        <w:jc w:val="both"/>
        <w:rPr>
          <w:highlight w:val="none"/>
        </w:rPr>
      </w:pPr>
      <w:r>
        <w:rPr>
          <w:rFonts w:eastAsiaTheme="minorHAnsi"/>
          <w:sz w:val="28"/>
          <w:szCs w:val="28"/>
          <w:highlight w:val="white"/>
        </w:rPr>
        <w:t xml:space="preserve">В Справке по заключению счетов бюджетного учета отчетного финансового года (ф. 0503110) по КОСГУ 273 «Чрезвычайные расходы по операциям с активами» отражены списания дебиторской задолженности, по КОСГУ 173 «Чрезвычайные доходы от операций с актив</w:t>
      </w:r>
      <w:r>
        <w:rPr>
          <w:rFonts w:eastAsiaTheme="minorHAnsi"/>
          <w:sz w:val="28"/>
          <w:szCs w:val="28"/>
          <w:highlight w:val="white"/>
        </w:rPr>
        <w:t xml:space="preserve">ами» списания дебиторской и кредиторской задолженности</w:t>
      </w:r>
      <w:r>
        <w:rPr>
          <w:rFonts w:eastAsiaTheme="minorHAnsi"/>
          <w:highlight w:val="white"/>
        </w:rPr>
        <w:t xml:space="preserve">.</w:t>
      </w:r>
      <w:r>
        <w:rPr>
          <w:highlight w:val="white"/>
        </w:rPr>
      </w:r>
      <w:r/>
    </w:p>
    <w:p>
      <w:pPr>
        <w:ind w:firstLine="860"/>
        <w:jc w:val="both"/>
        <w:spacing w:after="0" w:line="240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Расхождение формы 0503110 Справки по заключению счетов бюджетного учета отчетного финансового года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и формы 0503710 Справки по заключению учреждением счетов бухгалтерского учета отчетного финансового года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сложилось в связи с отражением в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форме 0503710 Справки по заключению учреждением счетов бухгалтерского учета отчетного финансового года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:</w:t>
      </w:r>
      <w:r>
        <w:rPr>
          <w:rFonts w:ascii="PT Astra Serif" w:hAnsi="PT Astra Serif" w:cs="PT Astra Serif"/>
          <w:sz w:val="28"/>
          <w:szCs w:val="28"/>
          <w:highlight w:val="white"/>
        </w:rPr>
      </w:r>
      <w:r/>
    </w:p>
    <w:p>
      <w:pPr>
        <w:ind w:firstLine="860"/>
        <w:jc w:val="both"/>
        <w:spacing w:after="0" w:line="240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по аналитическ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ой группе подвида доходов бюджета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 194 «Безвозмездные межведомственные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неденежные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 поступления»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коду счета 401 10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 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195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«Безвозмездные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неденежные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 поступления капитального характера от сектора государственного управления и организаций государственного сектора»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поступления земельных участков на праве постоянного (бессрочного) пользования по их кадастровой стоимости на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основании постановления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 органа, уполномоченного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 на управление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 имуществом казны, отраженного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в сумме 116 423 033 рубля 57 копеек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;</w:t>
      </w:r>
      <w:r>
        <w:rPr>
          <w:rFonts w:ascii="PT Astra Serif" w:hAnsi="PT Astra Serif" w:cs="PT Astra Serif"/>
          <w:sz w:val="28"/>
          <w:szCs w:val="28"/>
          <w:highlight w:val="white"/>
        </w:rPr>
      </w:r>
      <w:r/>
    </w:p>
    <w:p>
      <w:pPr>
        <w:ind w:firstLine="860"/>
        <w:jc w:val="both"/>
        <w:spacing w:after="0" w:line="240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выбытия объекта непроизведенных активов при прекращении права постоянного (бессрочного) пользования на основании постановления органа, уполномоченного на управление имуществом казны, отраженного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 по коду вида расходов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804 «Безвозмездные межведомственные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неденежные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 передачи» коду счета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401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20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 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281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 «Расходы на безвозмездные перечисления капитального характера государственным (муниципальным) учреждениям»,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на сумму 13 208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 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338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 рублей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75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копеек;</w:t>
      </w:r>
      <w:r>
        <w:rPr>
          <w:rFonts w:ascii="PT Astra Serif" w:hAnsi="PT Astra Serif" w:cs="PT Astra Serif"/>
          <w:sz w:val="28"/>
          <w:szCs w:val="28"/>
          <w:highlight w:val="white"/>
        </w:rPr>
      </w:r>
      <w:r/>
    </w:p>
    <w:p>
      <w:pPr>
        <w:ind w:firstLine="560"/>
        <w:jc w:val="both"/>
        <w:spacing w:after="0" w:line="240" w:lineRule="auto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none"/>
          <w:lang w:eastAsia="ru-RU"/>
        </w:rPr>
        <w:t xml:space="preserve"> 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выбытия объекта непроизведенных активов при прекращении права постоянного (бессрочного) пользования на основании постановления органа, уполномоченного на управление имуществом казны, по коду вида расходов 80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2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 «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Безвозмездные внутриведомственные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неденежные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 передачи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», коду счета 401 20 281 «Расходы на безвозмездные перечисления капитального характера государственным (муниципальным) учреждениям»,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передачи затрат по объекту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незавершенного строительств муниципальным унитарным предприятием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, наделенным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полномочиями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 орган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а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 местного самоуправления по осуществлению капитального строительства объектов муниципальной собственности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 и представляющего бухгалтерскую отчетность в соответствии с Инструкцией 33н, утвержденной приказом Министерст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ва финансов Российской Федерации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от 25.03.2011 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, учредителю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в сумме 20 345 636,53 руб.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В отчетности учредителя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 в форме 0503110 Справка по заключению счетов бюджетного учета отчетного финансового года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 поступление указанных затрат отражено по аналитическо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й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группе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 подвида доходов бюджет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ов 198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 «Безвозмездные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неденежные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 поступления от государственного сектора»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 коду счета 401 10 195 «Безвозмездные 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неденежные</w:t>
      </w:r>
      <w:r>
        <w:rPr>
          <w:rFonts w:ascii="PT Astra Serif" w:hAnsi="PT Astra Serif" w:eastAsia="Times New Roman" w:cs="PT Astra Serif"/>
          <w:color w:val="000000"/>
          <w:sz w:val="28"/>
          <w:szCs w:val="28"/>
          <w:highlight w:val="white"/>
          <w:lang w:eastAsia="ru-RU"/>
        </w:rPr>
        <w:t xml:space="preserve"> поступления капитального характера от сектора государственного управления и организаций государственного сектора».</w:t>
      </w:r>
      <w:r>
        <w:rPr>
          <w:rFonts w:ascii="PT Astra Serif" w:hAnsi="PT Astra Serif" w:cs="PT Astra Serif"/>
          <w:sz w:val="28"/>
          <w:szCs w:val="28"/>
          <w:highlight w:val="white"/>
        </w:rPr>
      </w:r>
      <w:r/>
    </w:p>
    <w:p>
      <w:pPr>
        <w:ind w:left="0" w:right="0" w:firstLine="720"/>
        <w:jc w:val="both"/>
        <w:spacing w:before="0" w:after="0"/>
        <w:shd w:val="clear" w:color="fcfcfc" w:fill="fcfcfc"/>
        <w:rPr>
          <w:rFonts w:ascii="PT Astra Serif" w:hAnsi="PT Astra Serif" w:cs="PT Astra Serif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PT Astra Serif" w:hAnsi="PT Astra Serif" w:eastAsia="Arial" w:cs="PT Astra Serif"/>
          <w:color w:val="232627"/>
          <w:sz w:val="28"/>
          <w:szCs w:val="28"/>
          <w:highlight w:val="none"/>
        </w:rPr>
        <w:t xml:space="preserve">Главным распорядителем средств бюджета Саратовской области приняты безвозмездно нефинансовые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none"/>
        </w:rPr>
        <w:t xml:space="preserve">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none"/>
        </w:rPr>
        <w:t xml:space="preserve">активы от Федерального агентства по государственным резервам (глава 171) в общей сумме 1 851 052 620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none"/>
        </w:rPr>
        <w:t xml:space="preserve">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none"/>
        </w:rPr>
        <w:t xml:space="preserve">рублей 53 копейки, из них в сумме 6 025 397 рублей 43 копейки принято оборудование – отражено в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none"/>
        </w:rPr>
        <w:t xml:space="preserve">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none"/>
        </w:rPr>
        <w:t xml:space="preserve">формах отчетности об исполнении консолидированного бюджета области по классификации сектора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none"/>
        </w:rPr>
        <w:t xml:space="preserve">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none"/>
        </w:rPr>
        <w:t xml:space="preserve">государственного управления 195 «Безвозмездные неденежные поступления капитального характера от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none"/>
        </w:rPr>
        <w:t xml:space="preserve"> </w:t>
      </w:r>
      <w:r>
        <w:rPr>
          <w:rFonts w:ascii="PT Astra Serif" w:hAnsi="PT Astra Serif" w:eastAsia="Arial" w:cs="PT Astra Serif"/>
          <w:color w:val="232627"/>
          <w:sz w:val="28"/>
          <w:szCs w:val="28"/>
          <w:highlight w:val="none"/>
        </w:rPr>
        <w:t xml:space="preserve">сектора государственного управления и организаций государственного сектора».</w:t>
      </w:r>
      <w:r>
        <w:rPr>
          <w:rFonts w:ascii="PT Astra Serif" w:hAnsi="PT Astra Serif" w:cs="PT Astra Serif"/>
          <w:sz w:val="28"/>
          <w:szCs w:val="28"/>
        </w:rPr>
      </w:r>
      <w:r/>
    </w:p>
    <w:p>
      <w:pPr>
        <w:ind w:firstLine="720"/>
        <w:jc w:val="both"/>
        <w:rPr>
          <w:rFonts w:ascii="PT Astra Serif" w:hAnsi="PT Astra Serif" w:cs="PT Astra Serif"/>
          <w:sz w:val="28"/>
          <w:szCs w:val="28"/>
          <w:highlight w:val="yellow"/>
        </w:rPr>
      </w:pPr>
      <w:r>
        <w:rPr>
          <w:rFonts w:ascii="PT Astra Serif" w:hAnsi="PT Astra Serif" w:cs="PT Astra Serif" w:eastAsiaTheme="minorHAnsi"/>
          <w:sz w:val="28"/>
          <w:szCs w:val="28"/>
          <w:highlight w:val="yellow"/>
        </w:rPr>
      </w:r>
      <w:r>
        <w:rPr>
          <w:rFonts w:ascii="PT Astra Serif" w:hAnsi="PT Astra Serif" w:cs="PT Astra Serif"/>
          <w:sz w:val="28"/>
          <w:szCs w:val="28"/>
        </w:rPr>
        <w:t xml:space="preserve">В форме 0503368 Сведения о движении нефинансовых активов консолидированного бюджета по строке 560 «Вложения в объекты государственной (муниципальной) казны» (счет 01065X000) отражены вложения в объекты имущества казны</w:t>
      </w:r>
      <w:r>
        <w:rPr>
          <w:rFonts w:ascii="PT Astra Serif" w:hAnsi="PT Astra Serif" w:cs="PT Astra Serif"/>
          <w:sz w:val="28"/>
          <w:szCs w:val="28"/>
        </w:rPr>
        <w:t xml:space="preserve"> в общей сумме 635</w:t>
      </w:r>
      <w:r>
        <w:rPr>
          <w:rFonts w:ascii="PT Astra Serif" w:hAnsi="PT Astra Serif" w:cs="PT Astra Serif"/>
          <w:sz w:val="28"/>
          <w:szCs w:val="28"/>
        </w:rPr>
        <w:t xml:space="preserve"> </w:t>
      </w:r>
      <w:r>
        <w:rPr>
          <w:rFonts w:ascii="PT Astra Serif" w:hAnsi="PT Astra Serif" w:cs="PT Astra Serif"/>
          <w:sz w:val="28"/>
          <w:szCs w:val="28"/>
        </w:rPr>
        <w:t xml:space="preserve">555</w:t>
      </w:r>
      <w:r>
        <w:rPr>
          <w:rFonts w:ascii="PT Astra Serif" w:hAnsi="PT Astra Serif" w:cs="PT Astra Serif"/>
          <w:sz w:val="28"/>
          <w:szCs w:val="28"/>
        </w:rPr>
        <w:t xml:space="preserve"> 267 рублей 16 копеек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на начало отчетного года и 662 831 773 рубля 99 копеек на конец отчетного периода</w:t>
      </w:r>
      <w:r>
        <w:rPr>
          <w:rFonts w:ascii="PT Astra Serif" w:hAnsi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</w:rPr>
      </w:r>
      <w:r/>
    </w:p>
    <w:p>
      <w:pPr>
        <w:ind w:firstLine="700"/>
        <w:jc w:val="both"/>
        <w:rPr>
          <w:rFonts w:ascii="PT Astra Serif" w:hAnsi="PT Astra Serif" w:cs="PT Astra Serif"/>
          <w:sz w:val="28"/>
          <w:szCs w:val="28"/>
          <w:highlight w:val="none"/>
          <w:u w:val="none"/>
        </w:rPr>
      </w:pPr>
      <w:r>
        <w:rPr>
          <w:rFonts w:ascii="PT Astra Serif" w:hAnsi="PT Astra Serif" w:cs="PT Astra Serif" w:eastAsiaTheme="minorHAnsi"/>
          <w:sz w:val="28"/>
          <w:szCs w:val="28"/>
          <w:highlight w:val="none"/>
        </w:rPr>
      </w:r>
      <w:r>
        <w:rPr>
          <w:rFonts w:ascii="PT Astra Serif" w:hAnsi="PT Astra Serif" w:cs="PT Astra Serif"/>
          <w:sz w:val="28"/>
          <w:szCs w:val="28"/>
        </w:rPr>
        <w:t xml:space="preserve">Расх</w:t>
      </w:r>
      <w:r>
        <w:rPr>
          <w:rFonts w:ascii="PT Astra Serif" w:hAnsi="PT Astra Serif" w:cs="PT Astra Serif"/>
          <w:sz w:val="28"/>
          <w:szCs w:val="28"/>
        </w:rPr>
        <w:t xml:space="preserve">ождение показателей формы 0503321 Консолидированный отчет о финансовых результатах деятельности и формы 0503368 Сведения о движении нефинансовых активов консолидированного бюджета в сумме </w:t>
      </w:r>
      <w:r>
        <w:rPr>
          <w:rFonts w:ascii="PT Astra Serif" w:hAnsi="PT Astra Serif" w:cs="PT Astra Serif"/>
          <w:sz w:val="28"/>
          <w:szCs w:val="28"/>
        </w:rPr>
        <w:t xml:space="preserve">110</w:t>
      </w:r>
      <w:r>
        <w:rPr>
          <w:rFonts w:ascii="PT Astra Serif" w:hAnsi="PT Astra Serif" w:cs="PT Astra Serif"/>
          <w:sz w:val="28"/>
          <w:szCs w:val="28"/>
        </w:rPr>
        <w:t xml:space="preserve"> 813 970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рублей</w:t>
      </w:r>
      <w:r>
        <w:rPr>
          <w:rFonts w:ascii="PT Astra Serif" w:hAnsi="PT Astra Serif" w:cs="PT Astra Serif"/>
          <w:sz w:val="28"/>
          <w:szCs w:val="28"/>
        </w:rPr>
        <w:t xml:space="preserve"> 08</w:t>
      </w:r>
      <w:r>
        <w:rPr>
          <w:rFonts w:ascii="PT Astra Serif" w:hAnsi="PT Astra Serif" w:cs="PT Astra Serif"/>
          <w:sz w:val="28"/>
          <w:szCs w:val="28"/>
        </w:rPr>
        <w:t xml:space="preserve"> копеек сложилось в части не учтенных в контроле показателей по счету </w:t>
        <w:br/>
        <w:t xml:space="preserve">110652 000</w:t>
      </w:r>
      <w:r>
        <w:rPr>
          <w:rFonts w:ascii="PT Astra Serif" w:hAnsi="PT Astra Serif" w:cs="PT Astra Serif"/>
          <w:sz w:val="28"/>
          <w:szCs w:val="28"/>
        </w:rPr>
        <w:t xml:space="preserve"> «</w:t>
      </w:r>
      <w:r>
        <w:rPr>
          <w:rFonts w:ascii="PT Astra Serif" w:hAnsi="PT Astra Serif" w:cs="PT Astra Serif"/>
          <w:sz w:val="28"/>
          <w:szCs w:val="28"/>
          <w:u w:val="none"/>
        </w:rPr>
        <w:t xml:space="preserve">Вложения в д</w:t>
      </w:r>
      <w:r>
        <w:rPr>
          <w:rFonts w:ascii="PT Astra Serif" w:hAnsi="PT Astra Serif" w:cs="PT Astra Serif"/>
          <w:sz w:val="28"/>
          <w:szCs w:val="28"/>
          <w:u w:val="none"/>
        </w:rPr>
        <w:t xml:space="preserve">вижимое имущество государственной (муниципальной) казны»</w:t>
      </w:r>
      <w:r>
        <w:rPr>
          <w:rFonts w:ascii="PT Astra Serif" w:hAnsi="PT Astra Serif" w:cs="PT Astra Serif"/>
          <w:sz w:val="28"/>
          <w:szCs w:val="28"/>
          <w:u w:val="none"/>
        </w:rPr>
        <w:t xml:space="preserve">.</w:t>
      </w:r>
      <w:r>
        <w:rPr>
          <w:rFonts w:ascii="PT Astra Serif" w:hAnsi="PT Astra Serif" w:cs="PT Astra Serif" w:eastAsiaTheme="minorHAnsi"/>
          <w:sz w:val="28"/>
          <w:szCs w:val="28"/>
          <w:highlight w:val="none"/>
          <w:u w:val="none"/>
        </w:rPr>
      </w:r>
      <w:r/>
    </w:p>
    <w:p>
      <w:pPr>
        <w:ind w:firstLine="709"/>
        <w:jc w:val="both"/>
        <w:spacing w:after="0" w:line="240" w:lineRule="auto"/>
        <w:rPr>
          <w:sz w:val="28"/>
          <w:szCs w:val="28"/>
          <w:u w:val="none"/>
        </w:rPr>
      </w:pPr>
      <w:r>
        <w:rPr>
          <w:rFonts w:ascii="PT Astra Serif" w:hAnsi="PT Astra Serif"/>
          <w:sz w:val="28"/>
          <w:szCs w:val="28"/>
          <w:u w:val="none"/>
        </w:rPr>
        <w:t xml:space="preserve">Отрицательные показатели в форме </w:t>
      </w:r>
      <w:r>
        <w:rPr>
          <w:rFonts w:ascii="Times New Roman" w:hAnsi="Times New Roman" w:eastAsia="Times New Roman"/>
          <w:color w:val="000000"/>
          <w:sz w:val="28"/>
          <w:szCs w:val="28"/>
          <w:u w:val="none"/>
        </w:rPr>
        <w:t xml:space="preserve"> </w:t>
      </w:r>
      <w:r>
        <w:rPr>
          <w:rFonts w:ascii="PT Astra Serif" w:hAnsi="PT Astra Serif"/>
          <w:sz w:val="28"/>
          <w:szCs w:val="28"/>
          <w:u w:val="none"/>
        </w:rPr>
        <w:t xml:space="preserve">0503321 Консолидированный отчет о финансовых результатах деятельности</w:t>
      </w:r>
      <w:r>
        <w:rPr>
          <w:rFonts w:ascii="PT Astra Serif" w:hAnsi="PT Astra Serif"/>
          <w:sz w:val="28"/>
          <w:szCs w:val="28"/>
          <w:u w:val="none"/>
        </w:rPr>
        <w:t xml:space="preserve"> сложились</w:t>
      </w:r>
      <w:r>
        <w:rPr>
          <w:rFonts w:ascii="PT Astra Serif" w:hAnsi="PT Astra Serif"/>
          <w:sz w:val="28"/>
          <w:szCs w:val="28"/>
          <w:u w:val="none"/>
        </w:rPr>
        <w:t xml:space="preserve">:</w:t>
      </w:r>
      <w:r>
        <w:rPr>
          <w:sz w:val="28"/>
          <w:szCs w:val="28"/>
          <w:u w:val="none"/>
        </w:rPr>
      </w:r>
      <w:r/>
    </w:p>
    <w:p>
      <w:pPr>
        <w:ind w:firstLine="720"/>
        <w:jc w:val="both"/>
        <w:spacing w:after="0" w:line="240" w:lineRule="auto"/>
        <w:rPr>
          <w:sz w:val="28"/>
          <w:szCs w:val="28"/>
          <w:u w:val="none"/>
        </w:rPr>
      </w:pPr>
      <w:r>
        <w:rPr>
          <w:rFonts w:ascii="PT Astra Serif" w:hAnsi="PT Astra Serif"/>
          <w:sz w:val="28"/>
          <w:szCs w:val="28"/>
          <w:u w:val="none"/>
        </w:rPr>
        <w:t xml:space="preserve">по</w:t>
      </w:r>
      <w:r>
        <w:rPr>
          <w:rFonts w:ascii="PT Astra Serif" w:hAnsi="PT Astra Serif"/>
          <w:sz w:val="28"/>
          <w:szCs w:val="28"/>
          <w:u w:val="none"/>
        </w:rPr>
        <w:t xml:space="preserve"> </w:t>
      </w:r>
      <w:r>
        <w:rPr>
          <w:rFonts w:ascii="PT Astra Serif" w:hAnsi="PT Astra Serif"/>
          <w:sz w:val="28"/>
          <w:szCs w:val="28"/>
          <w:u w:val="none"/>
        </w:rPr>
        <w:t xml:space="preserve">классификации сектора государственного управления 135 </w:t>
      </w:r>
      <w:bookmarkStart w:id="0" w:name="undefined"/>
      <w:r>
        <w:rPr>
          <w:sz w:val="28"/>
          <w:szCs w:val="28"/>
          <w:u w:val="none"/>
        </w:rPr>
      </w:r>
      <w:bookmarkEnd w:id="0"/>
      <w:r>
        <w:rPr>
          <w:rFonts w:ascii="PT Astra Serif" w:hAnsi="PT Astra Serif"/>
          <w:sz w:val="28"/>
          <w:szCs w:val="28"/>
          <w:u w:val="none"/>
        </w:rPr>
        <w:t xml:space="preserve">«</w:t>
      </w:r>
      <w:r>
        <w:rPr>
          <w:rFonts w:ascii="PT Astra Serif" w:hAnsi="PT Astra Serif" w:cs="PT Astra Serif"/>
          <w:sz w:val="28"/>
          <w:szCs w:val="28"/>
          <w:u w:val="none"/>
        </w:rPr>
        <w:t xml:space="preserve">Доходы по условным арендным платежам»</w:t>
      </w:r>
      <w:r>
        <w:rPr>
          <w:rFonts w:ascii="PT Astra Serif" w:hAnsi="PT Astra Serif"/>
          <w:sz w:val="28"/>
          <w:szCs w:val="28"/>
          <w:u w:val="none"/>
        </w:rPr>
        <w:t xml:space="preserve"> </w:t>
      </w:r>
      <w:r>
        <w:rPr>
          <w:rFonts w:ascii="PT Astra Serif" w:hAnsi="PT Astra Serif"/>
          <w:sz w:val="28"/>
          <w:szCs w:val="28"/>
          <w:u w:val="none"/>
        </w:rPr>
        <w:t xml:space="preserve">в связи с </w:t>
      </w:r>
      <w:r>
        <w:rPr>
          <w:rFonts w:ascii="PT Astra Serif" w:hAnsi="PT Astra Serif"/>
          <w:sz w:val="28"/>
          <w:szCs w:val="28"/>
          <w:u w:val="none"/>
        </w:rPr>
        <w:t xml:space="preserve">корректировк</w:t>
      </w:r>
      <w:r>
        <w:rPr>
          <w:rFonts w:ascii="PT Astra Serif" w:hAnsi="PT Astra Serif"/>
          <w:sz w:val="28"/>
          <w:szCs w:val="28"/>
          <w:u w:val="none"/>
        </w:rPr>
        <w:t xml:space="preserve">ой</w:t>
      </w:r>
      <w:r>
        <w:rPr>
          <w:rFonts w:ascii="PT Astra Serif" w:hAnsi="PT Astra Serif"/>
          <w:sz w:val="28"/>
          <w:szCs w:val="28"/>
          <w:u w:val="none"/>
        </w:rPr>
        <w:t xml:space="preserve"> расчетов с арендаторами по возмещению </w:t>
      </w:r>
      <w:r>
        <w:rPr>
          <w:rFonts w:ascii="PT Astra Serif" w:hAnsi="PT Astra Serif"/>
          <w:sz w:val="28"/>
          <w:szCs w:val="28"/>
          <w:u w:val="none"/>
        </w:rPr>
        <w:t xml:space="preserve">расходов за коммунальные услуги</w:t>
      </w:r>
      <w:r>
        <w:rPr>
          <w:rFonts w:ascii="PT Astra Serif" w:hAnsi="PT Astra Serif"/>
          <w:sz w:val="28"/>
          <w:szCs w:val="28"/>
          <w:u w:val="none"/>
        </w:rPr>
        <w:t xml:space="preserve">;</w:t>
      </w:r>
      <w:r>
        <w:rPr>
          <w:sz w:val="28"/>
          <w:szCs w:val="28"/>
          <w:u w:val="none"/>
        </w:rPr>
      </w:r>
      <w:r/>
    </w:p>
    <w:p>
      <w:pPr>
        <w:ind w:firstLine="709"/>
        <w:jc w:val="both"/>
        <w:spacing w:after="0" w:line="240" w:lineRule="auto"/>
        <w:rPr>
          <w:sz w:val="28"/>
          <w:szCs w:val="28"/>
          <w:highlight w:val="white"/>
          <w:u w:val="none"/>
        </w:rPr>
      </w:pPr>
      <w:r>
        <w:rPr>
          <w:rFonts w:ascii="PT Astra Serif" w:hAnsi="PT Astra Serif"/>
          <w:sz w:val="28"/>
          <w:szCs w:val="28"/>
          <w:highlight w:val="white"/>
          <w:u w:val="none"/>
        </w:rPr>
        <w:t xml:space="preserve">классификации сектора государственного управления 143 «Страховые возмещения» в связи с корректировкой расчетов;</w:t>
      </w:r>
      <w:r>
        <w:rPr>
          <w:sz w:val="28"/>
          <w:szCs w:val="28"/>
          <w:highlight w:val="white"/>
          <w:u w:val="none"/>
        </w:rPr>
      </w:r>
      <w:r/>
    </w:p>
    <w:p>
      <w:pPr>
        <w:ind w:firstLine="709"/>
        <w:jc w:val="both"/>
        <w:spacing w:after="0" w:line="240" w:lineRule="auto"/>
        <w:rPr>
          <w:sz w:val="28"/>
          <w:szCs w:val="28"/>
          <w:highlight w:val="white"/>
          <w:u w:val="none"/>
        </w:rPr>
      </w:pPr>
      <w:r>
        <w:rPr>
          <w:rFonts w:ascii="PT Astra Serif" w:hAnsi="PT Astra Serif"/>
          <w:sz w:val="28"/>
          <w:szCs w:val="28"/>
          <w:highlight w:val="white"/>
          <w:u w:val="none"/>
        </w:rPr>
        <w:t xml:space="preserve">по классификации сектора государственного управления 173 «Чрезвычайные доходы от операций с активами» в связи с превышением показателей списаний дебиторской задолженности по доходам над показателями по списанию кредиторской задолженности;</w:t>
      </w:r>
      <w:r>
        <w:rPr>
          <w:sz w:val="28"/>
          <w:szCs w:val="28"/>
          <w:highlight w:val="white"/>
          <w:u w:val="none"/>
        </w:rPr>
      </w:r>
      <w:r/>
    </w:p>
    <w:p>
      <w:pPr>
        <w:ind w:firstLine="709"/>
        <w:jc w:val="both"/>
        <w:spacing w:after="0" w:line="240" w:lineRule="auto"/>
        <w:rPr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  <w:u w:val="none"/>
        </w:rPr>
        <w:t xml:space="preserve">классификации сектора государственного управления 176 «Доходы от оценки активов и обязательств» в связи с уменьшением када</w:t>
      </w:r>
      <w:r>
        <w:rPr>
          <w:rFonts w:ascii="PT Astra Serif" w:hAnsi="PT Astra Serif"/>
          <w:sz w:val="28"/>
          <w:szCs w:val="28"/>
          <w:highlight w:val="white"/>
        </w:rPr>
        <w:t xml:space="preserve">стровой стоимости земельных участков.</w:t>
      </w:r>
      <w:r>
        <w:rPr>
          <w:sz w:val="28"/>
          <w:szCs w:val="28"/>
          <w:highlight w:val="white"/>
        </w:rPr>
      </w:r>
      <w:r/>
    </w:p>
    <w:p>
      <w:pPr>
        <w:ind w:firstLine="720"/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Начисленные расходы по перечислению другим бюджетам бюджетной системы Российской Федерации в Консолидированном отчете о финансовых результатах деятельности (ф. 0503321), отраженные в графе 4 в сумме </w:t>
      </w:r>
      <w:r>
        <w:rPr>
          <w:rFonts w:ascii="PT Astra Serif" w:hAnsi="PT Astra Serif" w:cs="PT Astra Serif"/>
          <w:sz w:val="28"/>
          <w:szCs w:val="28"/>
        </w:rPr>
        <w:t xml:space="preserve">2 014 918 </w:t>
      </w:r>
      <w:r>
        <w:rPr>
          <w:rFonts w:ascii="PT Astra Serif" w:hAnsi="PT Astra Serif" w:cs="PT Astra Serif"/>
          <w:sz w:val="28"/>
          <w:szCs w:val="28"/>
        </w:rPr>
        <w:t xml:space="preserve">793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рубля </w:t>
      </w:r>
      <w:r>
        <w:rPr>
          <w:rFonts w:ascii="PT Astra Serif" w:hAnsi="PT Astra Serif" w:cs="PT Astra Serif"/>
          <w:sz w:val="28"/>
          <w:szCs w:val="28"/>
        </w:rPr>
        <w:t xml:space="preserve">16 </w:t>
      </w:r>
      <w:r>
        <w:rPr>
          <w:rFonts w:ascii="PT Astra Serif" w:hAnsi="PT Astra Serif" w:cs="PT Astra Serif"/>
          <w:sz w:val="28"/>
          <w:szCs w:val="28"/>
        </w:rPr>
        <w:t xml:space="preserve">копеек</w:t>
      </w:r>
      <w:r>
        <w:rPr>
          <w:rFonts w:ascii="PT Astra Serif" w:hAnsi="PT Astra Serif" w:cs="PT Astra Serif"/>
          <w:sz w:val="28"/>
          <w:szCs w:val="28"/>
        </w:rPr>
        <w:t xml:space="preserve">, не соответствуют показателям в Справке по консолидированным расчетам (ф. 0503125) по счету 1 401 20 251 «Расходы на перечисления другим бюджетам бюджетной системы Российской Федерации» в сумме </w:t>
      </w:r>
      <w:r>
        <w:rPr>
          <w:rFonts w:ascii="PT Astra Serif" w:hAnsi="PT Astra Serif" w:cs="PT Astra Serif"/>
          <w:sz w:val="28"/>
          <w:szCs w:val="28"/>
        </w:rPr>
        <w:t xml:space="preserve">1</w:t>
      </w:r>
      <w:r>
        <w:rPr>
          <w:rFonts w:ascii="PT Astra Serif" w:hAnsi="PT Astra Serif" w:cs="PT Astra Serif"/>
          <w:sz w:val="28"/>
          <w:szCs w:val="28"/>
        </w:rPr>
        <w:t xml:space="preserve"> 860 401 123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рубля </w:t>
      </w:r>
      <w:r>
        <w:rPr>
          <w:rFonts w:ascii="PT Astra Serif" w:hAnsi="PT Astra Serif" w:cs="PT Astra Serif"/>
          <w:sz w:val="28"/>
          <w:szCs w:val="28"/>
        </w:rPr>
        <w:t xml:space="preserve">52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копейки на сумму </w:t>
      </w:r>
      <w:r>
        <w:rPr>
          <w:rFonts w:ascii="PT Astra Serif" w:hAnsi="PT Astra Serif" w:cs="PT Astra Serif"/>
          <w:sz w:val="28"/>
          <w:szCs w:val="28"/>
        </w:rPr>
        <w:t xml:space="preserve">154</w:t>
      </w:r>
      <w:r>
        <w:rPr>
          <w:rFonts w:ascii="PT Astra Serif" w:hAnsi="PT Astra Serif" w:cs="PT Astra Serif"/>
          <w:sz w:val="28"/>
          <w:szCs w:val="28"/>
        </w:rPr>
        <w:t xml:space="preserve"> </w:t>
      </w:r>
      <w:r>
        <w:rPr>
          <w:rFonts w:ascii="PT Astra Serif" w:hAnsi="PT Astra Serif" w:cs="PT Astra Serif"/>
          <w:sz w:val="28"/>
          <w:szCs w:val="28"/>
        </w:rPr>
        <w:t xml:space="preserve">517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669 </w:t>
      </w:r>
      <w:r>
        <w:rPr>
          <w:rFonts w:ascii="PT Astra Serif" w:hAnsi="PT Astra Serif" w:cs="PT Astra Serif"/>
          <w:sz w:val="28"/>
          <w:szCs w:val="28"/>
        </w:rPr>
        <w:t xml:space="preserve">рублей </w:t>
      </w:r>
      <w:r>
        <w:rPr>
          <w:rFonts w:ascii="PT Astra Serif" w:hAnsi="PT Astra Serif" w:cs="PT Astra Serif"/>
          <w:sz w:val="28"/>
          <w:szCs w:val="28"/>
        </w:rPr>
        <w:t xml:space="preserve">64 </w:t>
      </w:r>
      <w:r>
        <w:rPr>
          <w:rFonts w:ascii="PT Astra Serif" w:hAnsi="PT Astra Serif" w:cs="PT Astra Serif"/>
          <w:sz w:val="28"/>
          <w:szCs w:val="28"/>
        </w:rPr>
        <w:t xml:space="preserve">копейки</w:t>
      </w:r>
      <w:r>
        <w:rPr>
          <w:rFonts w:ascii="PT Astra Serif" w:hAnsi="PT Astra Serif" w:cs="PT Astra Serif"/>
          <w:sz w:val="28"/>
          <w:szCs w:val="28"/>
        </w:rPr>
        <w:t xml:space="preserve">, в том числе:</w:t>
      </w:r>
      <w:r>
        <w:rPr>
          <w:rFonts w:ascii="PT Astra Serif" w:hAnsi="PT Astra Serif" w:cs="PT Astra Serif"/>
          <w:sz w:val="28"/>
          <w:szCs w:val="28"/>
        </w:rPr>
      </w:r>
      <w:r/>
    </w:p>
    <w:p>
      <w:pPr>
        <w:ind w:firstLine="709"/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в сумме  </w:t>
      </w:r>
      <w:r>
        <w:rPr>
          <w:rFonts w:ascii="PT Astra Serif" w:hAnsi="PT Astra Serif" w:cs="PT Astra Serif"/>
          <w:sz w:val="28"/>
          <w:szCs w:val="28"/>
        </w:rPr>
        <w:t xml:space="preserve">147 145 379 </w:t>
      </w:r>
      <w:r>
        <w:rPr>
          <w:rFonts w:ascii="PT Astra Serif" w:hAnsi="PT Astra Serif" w:cs="PT Astra Serif"/>
          <w:sz w:val="28"/>
          <w:szCs w:val="28"/>
        </w:rPr>
        <w:t xml:space="preserve">рублей </w:t>
      </w:r>
      <w:r>
        <w:rPr>
          <w:rFonts w:ascii="PT Astra Serif" w:hAnsi="PT Astra Serif" w:cs="PT Astra Serif"/>
          <w:sz w:val="28"/>
          <w:szCs w:val="28"/>
        </w:rPr>
        <w:t xml:space="preserve">64</w:t>
      </w:r>
      <w:r>
        <w:rPr>
          <w:rFonts w:ascii="PT Astra Serif" w:hAnsi="PT Astra Serif" w:cs="PT Astra Serif"/>
          <w:sz w:val="28"/>
          <w:szCs w:val="28"/>
        </w:rPr>
        <w:t xml:space="preserve"> копейки в связи с заключением договоров аренды на льготных условиях; </w:t>
      </w:r>
      <w:r>
        <w:rPr>
          <w:rFonts w:ascii="PT Astra Serif" w:hAnsi="PT Astra Serif" w:cs="PT Astra Serif"/>
          <w:sz w:val="28"/>
          <w:szCs w:val="28"/>
        </w:rPr>
      </w:r>
      <w:r/>
    </w:p>
    <w:p>
      <w:pPr>
        <w:ind w:firstLine="709"/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  <w:t xml:space="preserve">в сумме 7 372 290 рублей 00 копеек на стоимость </w:t>
      </w:r>
      <w:r>
        <w:rPr>
          <w:rFonts w:ascii="PT Astra Serif" w:hAnsi="PT Astra Serif" w:cs="PT Astra Serif"/>
          <w:sz w:val="28"/>
          <w:szCs w:val="28"/>
        </w:rPr>
        <w:t xml:space="preserve">переданных прочих материальных запасов от государственного казенного учреждения </w:t>
      </w:r>
      <w:r>
        <w:rPr>
          <w:rFonts w:ascii="PT Astra Serif" w:hAnsi="PT Astra Serif" w:cs="PT Astra Serif"/>
          <w:sz w:val="28"/>
          <w:szCs w:val="28"/>
        </w:rPr>
        <w:t xml:space="preserve">Сарато</w:t>
      </w:r>
      <w:r>
        <w:rPr>
          <w:rFonts w:ascii="PT Astra Serif" w:hAnsi="PT Astra Serif" w:cs="PT Astra Serif"/>
          <w:sz w:val="28"/>
          <w:szCs w:val="28"/>
        </w:rPr>
        <w:t xml:space="preserve">вской области </w:t>
      </w:r>
      <w:r>
        <w:rPr>
          <w:rFonts w:ascii="PT Astra Serif" w:hAnsi="PT Astra Serif" w:cs="PT Astra Serif"/>
          <w:sz w:val="28"/>
          <w:szCs w:val="28"/>
        </w:rPr>
        <w:t xml:space="preserve">фед</w:t>
      </w:r>
      <w:r>
        <w:rPr>
          <w:rFonts w:ascii="PT Astra Serif" w:hAnsi="PT Astra Serif" w:cs="PT Astra Serif"/>
          <w:sz w:val="28"/>
          <w:szCs w:val="28"/>
        </w:rPr>
        <w:t xml:space="preserve">е</w:t>
      </w:r>
      <w:r>
        <w:rPr>
          <w:rFonts w:ascii="PT Astra Serif" w:hAnsi="PT Astra Serif" w:cs="PT Astra Serif"/>
          <w:sz w:val="28"/>
          <w:szCs w:val="28"/>
        </w:rPr>
        <w:t xml:space="preserve">рально</w:t>
      </w:r>
      <w:r>
        <w:rPr>
          <w:rFonts w:ascii="PT Astra Serif" w:hAnsi="PT Astra Serif" w:cs="PT Astra Serif"/>
          <w:sz w:val="28"/>
          <w:szCs w:val="28"/>
        </w:rPr>
        <w:t xml:space="preserve">му</w:t>
      </w:r>
      <w:r>
        <w:rPr>
          <w:rFonts w:ascii="PT Astra Serif" w:hAnsi="PT Astra Serif" w:cs="PT Astra Serif"/>
          <w:sz w:val="28"/>
          <w:szCs w:val="28"/>
        </w:rPr>
        <w:t xml:space="preserve"> государственному </w:t>
      </w:r>
      <w:r>
        <w:rPr>
          <w:rFonts w:ascii="PT Astra Serif" w:hAnsi="PT Astra Serif" w:cs="PT Astra Serif"/>
          <w:sz w:val="28"/>
          <w:szCs w:val="28"/>
        </w:rPr>
        <w:t xml:space="preserve">бюджетному </w:t>
      </w:r>
      <w:r>
        <w:rPr>
          <w:rFonts w:ascii="PT Astra Serif" w:hAnsi="PT Astra Serif" w:cs="PT Astra Serif"/>
          <w:sz w:val="28"/>
          <w:szCs w:val="28"/>
        </w:rPr>
        <w:t xml:space="preserve">учреждению</w:t>
      </w:r>
      <w:r>
        <w:rPr>
          <w:rFonts w:ascii="PT Astra Serif" w:hAnsi="PT Astra Serif" w:cs="PT Astra Serif"/>
          <w:sz w:val="28"/>
          <w:szCs w:val="28"/>
        </w:rPr>
        <w:t xml:space="preserve">.</w:t>
      </w:r>
      <w:r/>
    </w:p>
    <w:p>
      <w:pPr>
        <w:ind w:firstLine="720"/>
        <w:jc w:val="both"/>
        <w:spacing w:after="0" w:line="283" w:lineRule="atLeast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</w:rPr>
        <w:t xml:space="preserve">Расхождение</w:t>
      </w:r>
      <w:r>
        <w:rPr>
          <w:rFonts w:ascii="PT Astra Serif" w:hAnsi="PT Astra Serif" w:cs="PT Astra Serif"/>
          <w:sz w:val="28"/>
          <w:szCs w:val="28"/>
        </w:rPr>
        <w:t xml:space="preserve"> показателей формы 0503369 Сведения по дебиторской и кредиторской задолженности с формой 0503125 Справка по консолидируемым расчетам по счету </w:t>
      </w:r>
      <w:r>
        <w:rPr>
          <w:rFonts w:ascii="PT Astra Serif" w:hAnsi="PT Astra Serif" w:cs="PT Astra Serif"/>
          <w:sz w:val="28"/>
          <w:szCs w:val="28"/>
        </w:rPr>
        <w:t xml:space="preserve">130251831 </w:t>
      </w:r>
      <w:r>
        <w:rPr>
          <w:rFonts w:ascii="PT Astra Serif" w:hAnsi="PT Astra Serif" w:cs="PT Astra Serif"/>
          <w:sz w:val="28"/>
          <w:szCs w:val="28"/>
        </w:rPr>
        <w:t xml:space="preserve">«</w:t>
      </w:r>
      <w:r>
        <w:rPr>
          <w:rFonts w:ascii="PT Astra Serif" w:hAnsi="PT Astra Serif" w:cs="PT Astra Serif"/>
          <w:sz w:val="28"/>
          <w:szCs w:val="28"/>
        </w:rPr>
        <w:t xml:space="preserve">Уменьшение кредиторской задолженности по перечислениям текущего характера другим бюджетам бюджетной системы Российской Федерации</w:t>
      </w:r>
      <w:r>
        <w:rPr>
          <w:rFonts w:ascii="PT Astra Serif" w:hAnsi="PT Astra Serif" w:cs="PT Astra Serif"/>
          <w:sz w:val="28"/>
          <w:szCs w:val="28"/>
        </w:rPr>
        <w:t xml:space="preserve">» и </w:t>
      </w:r>
      <w:r>
        <w:rPr>
          <w:rFonts w:ascii="PT Astra Serif" w:hAnsi="PT Astra Serif" w:cs="PT Astra Serif"/>
          <w:sz w:val="28"/>
          <w:szCs w:val="28"/>
        </w:rPr>
        <w:t xml:space="preserve">140120251 </w:t>
      </w:r>
      <w:r>
        <w:rPr>
          <w:rFonts w:ascii="PT Astra Serif" w:hAnsi="PT Astra Serif" w:cs="PT Astra Serif"/>
          <w:sz w:val="28"/>
          <w:szCs w:val="28"/>
        </w:rPr>
        <w:t xml:space="preserve">«</w:t>
      </w:r>
      <w:r>
        <w:rPr>
          <w:rFonts w:ascii="PT Astra Serif" w:hAnsi="PT Astra Serif" w:cs="PT Astra Serif"/>
          <w:sz w:val="28"/>
          <w:szCs w:val="28"/>
        </w:rPr>
        <w:t xml:space="preserve">Расходы на перечисления текущего характера другим бюджетам бюджетной системы Российской Федерации</w:t>
      </w:r>
      <w:r>
        <w:rPr>
          <w:rFonts w:ascii="PT Astra Serif" w:hAnsi="PT Astra Serif" w:cs="PT Astra Serif"/>
          <w:sz w:val="28"/>
          <w:szCs w:val="28"/>
        </w:rPr>
        <w:t xml:space="preserve">» на сумму </w:t>
      </w:r>
      <w:r>
        <w:rPr>
          <w:rFonts w:ascii="PT Astra Serif" w:hAnsi="PT Astra Serif" w:cs="PT Astra Serif"/>
          <w:sz w:val="28"/>
          <w:szCs w:val="28"/>
        </w:rPr>
        <w:t xml:space="preserve">17899342 </w:t>
      </w:r>
      <w:r>
        <w:rPr>
          <w:rFonts w:ascii="PT Astra Serif" w:hAnsi="PT Astra Serif" w:cs="PT Astra Serif"/>
          <w:sz w:val="28"/>
          <w:szCs w:val="28"/>
        </w:rPr>
        <w:t xml:space="preserve">рубля </w:t>
      </w:r>
      <w:r>
        <w:rPr>
          <w:rFonts w:ascii="PT Astra Serif" w:hAnsi="PT Astra Serif" w:cs="PT Astra Serif"/>
          <w:sz w:val="28"/>
          <w:szCs w:val="28"/>
        </w:rPr>
        <w:t xml:space="preserve">75 </w:t>
      </w:r>
      <w:r>
        <w:rPr>
          <w:rFonts w:ascii="PT Astra Serif" w:hAnsi="PT Astra Serif" w:cs="PT Astra Serif"/>
          <w:sz w:val="28"/>
          <w:szCs w:val="28"/>
        </w:rPr>
        <w:t xml:space="preserve">копеек сложилось </w:t>
      </w:r>
      <w:r>
        <w:rPr>
          <w:rFonts w:ascii="PT Astra Serif" w:hAnsi="PT Astra Serif" w:cs="PT Astra Serif"/>
          <w:sz w:val="28"/>
          <w:szCs w:val="28"/>
        </w:rPr>
        <w:t xml:space="preserve">в результате признани</w:t>
      </w:r>
      <w:r>
        <w:rPr>
          <w:rFonts w:ascii="PT Astra Serif" w:hAnsi="PT Astra Serif" w:cs="PT Astra Serif"/>
          <w:sz w:val="28"/>
          <w:szCs w:val="28"/>
        </w:rPr>
        <w:t xml:space="preserve">я</w:t>
      </w:r>
      <w:r>
        <w:rPr>
          <w:rFonts w:ascii="PT Astra Serif" w:hAnsi="PT Astra Serif" w:cs="PT Astra Serif"/>
          <w:sz w:val="28"/>
          <w:szCs w:val="28"/>
        </w:rPr>
        <w:t xml:space="preserve"> к возмещению ранее несогласованных</w:t>
      </w:r>
      <w:r>
        <w:rPr>
          <w:rFonts w:ascii="PT Astra Serif" w:hAnsi="PT Astra Serif" w:cs="PT Astra Serif"/>
          <w:sz w:val="28"/>
          <w:szCs w:val="28"/>
        </w:rPr>
        <w:t xml:space="preserve"> сумм расходов </w:t>
      </w:r>
      <w:r>
        <w:rPr>
          <w:rFonts w:ascii="PT Astra Serif" w:hAnsi="PT Astra Serif" w:cs="PT Astra Serif"/>
          <w:sz w:val="28"/>
          <w:szCs w:val="28"/>
        </w:rPr>
        <w:t xml:space="preserve">по результатам проведенной экспертизы предоставленной медиц</w:t>
      </w:r>
      <w:r>
        <w:rPr>
          <w:rFonts w:ascii="PT Astra Serif" w:hAnsi="PT Astra Serif" w:cs="PT Astra Serif"/>
          <w:sz w:val="28"/>
          <w:szCs w:val="28"/>
        </w:rPr>
        <w:t xml:space="preserve">инской помощи за пределами территории субъекта Российской </w:t>
      </w:r>
      <w:r>
        <w:rPr>
          <w:rFonts w:ascii="PT Astra Serif" w:hAnsi="PT Astra Serif" w:cs="PT Astra Serif"/>
          <w:sz w:val="28"/>
          <w:szCs w:val="28"/>
        </w:rPr>
        <w:t xml:space="preserve">Федерации </w:t>
      </w:r>
      <w:r>
        <w:rPr>
          <w:rFonts w:ascii="PT Astra Serif" w:hAnsi="PT Astra Serif" w:cs="PT Astra Serif"/>
          <w:sz w:val="28"/>
          <w:szCs w:val="28"/>
        </w:rPr>
        <w:t xml:space="preserve">за счет резерва предстоящих расходов по перечислению другим бюджетам бюджетной системы Российской Федерации по счету</w:t>
      </w:r>
      <w:r>
        <w:rPr>
          <w:rFonts w:ascii="PT Astra Serif" w:hAnsi="PT Astra Serif" w:cs="PT Astra Serif"/>
          <w:sz w:val="28"/>
          <w:szCs w:val="28"/>
        </w:rPr>
        <w:t xml:space="preserve"> 140160251</w:t>
      </w:r>
      <w:r>
        <w:rPr>
          <w:rFonts w:ascii="PT Astra Serif" w:hAnsi="PT Astra Serif" w:cs="PT Astra Serif"/>
          <w:sz w:val="28"/>
          <w:szCs w:val="28"/>
        </w:rPr>
        <w:t xml:space="preserve"> «Резервы предстоящих расходов»</w:t>
      </w:r>
      <w:r>
        <w:rPr>
          <w:rFonts w:ascii="PT Astra Serif" w:hAnsi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В</w:t>
      </w:r>
      <w:r>
        <w:rPr>
          <w:rFonts w:ascii="PT Astra Serif" w:hAnsi="PT Astra Serif"/>
          <w:sz w:val="28"/>
          <w:szCs w:val="28"/>
          <w:highlight w:val="white"/>
        </w:rPr>
        <w:t xml:space="preserve"> Сведениях по дебиторской и кредиторской задолженности (форма 0503369) показатель дебиторской задолженности по доходам по счету 120511000 «Расчеты с плательщиками налогов» превышает 1 миллион рублей на начало 2022 года в сумме 3 821 896 911 рубль 16 копеек</w:t>
      </w:r>
      <w:r>
        <w:rPr>
          <w:rFonts w:ascii="PT Astra Serif" w:hAnsi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/>
          <w:sz w:val="28"/>
          <w:szCs w:val="28"/>
          <w:highlight w:val="white"/>
        </w:rPr>
        <w:t xml:space="preserve">и на конец отчетного периода в сумме 7 915 458 715 рублей 27 копеек, и составляет соответственно 3 822 896 911 рублей 16 копеек и 7 916 458 715 рублей 27 копеек, по данным отчетности  главного администратора доходов федерального бюджета, представл</w:t>
      </w:r>
      <w:r>
        <w:rPr>
          <w:rFonts w:ascii="PT Astra Serif" w:hAnsi="PT Astra Serif"/>
          <w:sz w:val="28"/>
          <w:szCs w:val="28"/>
          <w:highlight w:val="white"/>
        </w:rPr>
        <w:t xml:space="preserve">енного Федеральной налоговой службой.</w:t>
      </w:r>
      <w:r>
        <w:rPr>
          <w:sz w:val="28"/>
          <w:szCs w:val="28"/>
          <w:highlight w:val="white"/>
        </w:rPr>
      </w:r>
      <w:r/>
    </w:p>
    <w:p>
      <w:pPr>
        <w:ind w:firstLine="709"/>
        <w:jc w:val="both"/>
        <w:spacing w:after="0" w:line="283" w:lineRule="atLeast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Финансовый результат по счетам Баланса исполнения консолидированного бюджета субъекта Российской Федерации и бюджета территориального государственного внебюджетного фонда (ф. </w:t>
      </w:r>
      <w:r>
        <w:rPr>
          <w:rFonts w:ascii="PT Astra Serif" w:hAnsi="PT Astra Serif" w:cs="PT Astra Serif"/>
          <w:sz w:val="28"/>
          <w:szCs w:val="28"/>
        </w:rPr>
        <w:t xml:space="preserve">0503320) не соответствует идентичному показателю в Консолидированном отчете о финансовых результатах деятельности (ф. 0503321) по причине преобразования в течение финансового года государственных (муниципальных) учреждений путем изменения их типа на сумму </w:t>
      </w:r>
      <w:r>
        <w:rPr>
          <w:rFonts w:ascii="PT Astra Serif" w:hAnsi="PT Astra Serif" w:cs="PT Astra Serif"/>
          <w:sz w:val="28"/>
          <w:szCs w:val="28"/>
        </w:rPr>
        <w:t xml:space="preserve">31 622 982 </w:t>
      </w:r>
      <w:r>
        <w:rPr>
          <w:rFonts w:ascii="PT Astra Serif" w:hAnsi="PT Astra Serif" w:cs="PT Astra Serif"/>
          <w:sz w:val="28"/>
          <w:szCs w:val="28"/>
        </w:rPr>
        <w:t xml:space="preserve">рубля </w:t>
      </w:r>
      <w:r>
        <w:rPr>
          <w:rFonts w:ascii="PT Astra Serif" w:hAnsi="PT Astra Serif" w:cs="PT Astra Serif"/>
          <w:sz w:val="28"/>
          <w:szCs w:val="28"/>
        </w:rPr>
        <w:t xml:space="preserve">49 </w:t>
      </w:r>
      <w:r>
        <w:rPr>
          <w:rFonts w:ascii="PT Astra Serif" w:hAnsi="PT Astra Serif" w:cs="PT Astra Serif"/>
          <w:sz w:val="28"/>
          <w:szCs w:val="28"/>
        </w:rPr>
        <w:t xml:space="preserve">копеек </w:t>
      </w:r>
      <w:r>
        <w:rPr>
          <w:rFonts w:ascii="PT Astra Serif" w:hAnsi="PT Astra Serif" w:cs="PT Astra Serif"/>
          <w:sz w:val="28"/>
          <w:szCs w:val="28"/>
        </w:rPr>
        <w:t xml:space="preserve">соответствующую показателям Справки по консолидируемым расчетам</w:t>
      </w:r>
      <w:r>
        <w:rPr>
          <w:rFonts w:ascii="PT Astra Serif" w:hAnsi="PT Astra Serif" w:cs="PT Astra Serif"/>
          <w:sz w:val="28"/>
          <w:szCs w:val="28"/>
        </w:rPr>
        <w:t xml:space="preserve"> (ф. 0503125) по счету 1 304 06 000.</w:t>
      </w:r>
      <w:r>
        <w:rPr>
          <w:rFonts w:ascii="PT Astra Serif" w:hAnsi="PT Astra Serif" w:cs="PT Astra Serif"/>
          <w:sz w:val="28"/>
          <w:szCs w:val="28"/>
        </w:rPr>
      </w:r>
      <w:r/>
    </w:p>
    <w:p>
      <w:pPr>
        <w:ind w:firstLine="709"/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Расхождения показателей формы 0503317 Отчет об исполнении консолидированного бюджета субъекта Российской Федерации и бюджета территориального государственного внебюджетного фонда с формой 0503152 Консолидированный</w:t>
      </w:r>
      <w:r>
        <w:rPr>
          <w:rFonts w:ascii="PT Astra Serif" w:hAnsi="PT Astra Serif" w:cs="PT Astra Serif"/>
          <w:sz w:val="28"/>
          <w:szCs w:val="28"/>
        </w:rPr>
        <w:t xml:space="preserve"> отчет о кассовых поступлениях и выбытиях сложилось</w:t>
      </w:r>
      <w:r>
        <w:rPr>
          <w:rFonts w:ascii="PT Astra Serif" w:hAnsi="PT Astra Serif" w:cs="PT Astra Serif"/>
          <w:sz w:val="28"/>
          <w:szCs w:val="28"/>
        </w:rPr>
        <w:t xml:space="preserve"> в </w:t>
      </w:r>
      <w:r>
        <w:rPr>
          <w:rFonts w:ascii="PT Astra Serif" w:hAnsi="PT Astra Serif" w:cs="PT Astra Serif"/>
          <w:sz w:val="28"/>
          <w:szCs w:val="28"/>
        </w:rPr>
        <w:t xml:space="preserve">результате</w:t>
      </w:r>
      <w:r>
        <w:rPr>
          <w:rFonts w:ascii="PT Astra Serif" w:hAnsi="PT Astra Serif" w:cs="PT Astra Serif"/>
          <w:sz w:val="28"/>
          <w:szCs w:val="28"/>
        </w:rPr>
        <w:t xml:space="preserve">:</w:t>
      </w:r>
      <w:r>
        <w:rPr>
          <w:rFonts w:ascii="PT Astra Serif" w:hAnsi="PT Astra Serif" w:cs="PT Astra Serif"/>
          <w:sz w:val="28"/>
          <w:szCs w:val="28"/>
        </w:rPr>
      </w:r>
      <w:r/>
    </w:p>
    <w:p>
      <w:pPr>
        <w:contextualSpacing/>
        <w:ind w:firstLine="709"/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отражения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ТФОМС Сарато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вской области сумм поступлений возвратов остатков межбюджетных трансфертов прошлых лет при подтверждении потребности в составе кодов источников финансирования (в положительном значении): 000 01050201090000510 «Увеличение прочих остатков денежных средств бю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джетов территориальных фондов обязательного медицинского страхования» в сумме 371 372 820 рублей 86 копеек, при отражении указанных сумм территориальными органами Федерального казначейства в составе кодов источников финансирования (в отрицательном значении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): 000 01050201090000610 «Уменьшение прочих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остатков денежных средств бюджетов территориальных фондов обязательного медицинского страхования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»;</w:t>
      </w:r>
      <w:r>
        <w:rPr>
          <w:rFonts w:ascii="PT Astra Serif" w:hAnsi="PT Astra Serif" w:cs="PT Astra Serif"/>
          <w:sz w:val="28"/>
          <w:szCs w:val="28"/>
        </w:rPr>
      </w:r>
      <w:r/>
    </w:p>
    <w:p>
      <w:pPr>
        <w:contextualSpacing/>
        <w:ind w:firstLine="709"/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отражения сумм по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ступлений возвратов остатков межбюджетных трансфертов прошлых лет в составе кодов источников финансирования (в положительном значении): 000 01050201020000510 «Увеличение прочих остатков денежных средств бюджетов субъектов Российской Федерации» в сумме 30 0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02 рубля 85 копеек, при отражении указанных сумм территориальными органами Федерального казначейства в составе кодов источников финансирования (в отрицательном значении): 000 01050201020000610 «Уменьшение прочих остатков денежных средств бюджетов субъектов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Российской Федерации».</w:t>
      </w:r>
      <w:r>
        <w:rPr>
          <w:rFonts w:ascii="PT Astra Serif" w:hAnsi="PT Astra Serif" w:cs="PT Astra Serif"/>
          <w:sz w:val="28"/>
          <w:szCs w:val="28"/>
        </w:rPr>
      </w:r>
      <w:r/>
    </w:p>
    <w:p>
      <w:pPr>
        <w:contextualSpacing/>
        <w:ind w:firstLine="709"/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По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строке 981 «в том числе по видам выбытий: субсидии» графы 11 «Поступления – бюджеты сельских поселений»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формы 0503317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Отчета об исполнении консолидированного бюджета субъекта Российской Федерации и бюджета территориального государственного внебюджетного фонда (форма 0503317)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отражена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горизонтальн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ая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субсиди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я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из бюджета сельского поселения бюджету сельского поселения в сумме 300 000 рублей 00 копеек.</w:t>
      </w:r>
      <w:r>
        <w:rPr>
          <w:rFonts w:ascii="PT Astra Serif" w:hAnsi="PT Astra Serif" w:cs="PT Astra Serif"/>
          <w:sz w:val="28"/>
          <w:szCs w:val="28"/>
        </w:rPr>
      </w:r>
      <w:r/>
    </w:p>
    <w:p>
      <w:pPr>
        <w:ind w:firstLine="709"/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Расхождения показателей формы 0503317 Отчет об исполнении консолидирован</w:t>
      </w:r>
      <w:r>
        <w:rPr>
          <w:rFonts w:ascii="PT Astra Serif" w:hAnsi="PT Astra Serif" w:cs="PT Astra Serif"/>
          <w:sz w:val="28"/>
          <w:szCs w:val="28"/>
        </w:rPr>
        <w:t xml:space="preserve">ного бюджета субъекта Российской Федерации и бюджета территориального государственного внебюджетного фонда с формой 0503387 Справочная таблица к отчету об исполнении консолидированного бюджета субъекта Российской Федерации сложились в результате отражения </w:t>
      </w:r>
      <w:r>
        <w:rPr>
          <w:rFonts w:ascii="PT Astra Serif" w:hAnsi="PT Astra Serif" w:cs="PT Astra Serif"/>
          <w:sz w:val="28"/>
          <w:szCs w:val="28"/>
        </w:rPr>
        <w:t xml:space="preserve">расходов на осуществление воинского учета на территориях, где отсутствуют военные комиссариаты по строкам 00200, 00210, 00220, 00230, а так же по кодам строк 00800</w:t>
      </w:r>
      <w:r>
        <w:rPr>
          <w:rFonts w:ascii="PT Astra Serif" w:hAnsi="PT Astra Serif" w:cs="PT Astra Serif"/>
          <w:sz w:val="28"/>
          <w:szCs w:val="28"/>
        </w:rPr>
        <w:t xml:space="preserve">, 00801, 00802, 00803. Полномочия Российской Федерации на осуществление воинского учета на территориях, где отсутствуют структурные подразделения военных комиссариатов, передаются соответствующим </w:t>
      </w:r>
      <w:r>
        <w:rPr>
          <w:rFonts w:ascii="PT Astra Serif" w:hAnsi="PT Astra Serif" w:cs="PT Astra Serif"/>
          <w:sz w:val="28"/>
          <w:szCs w:val="28"/>
        </w:rPr>
        <w:t xml:space="preserve">органам местного самоуправления поселений и органам местного самоуправления городских округов в соответствии со статьей 8 Федерального закона «О воинской обязанности и воинской службе». Органы местного самоуправления поселений и органы местного самоуправле</w:t>
      </w:r>
      <w:r>
        <w:rPr>
          <w:rFonts w:ascii="PT Astra Serif" w:hAnsi="PT Astra Serif" w:cs="PT Astra Serif"/>
          <w:sz w:val="28"/>
          <w:szCs w:val="28"/>
        </w:rPr>
        <w:t xml:space="preserve">ния городских округов осуществляют первичный воинский учет граждан, проживающих или пребывающих на территориях указанных муниципальных образований. Работники, исполняющие указанные полномочия, состоят в штате администраций органов местного самоуправления. </w:t>
      </w:r>
      <w:r>
        <w:rPr>
          <w:rFonts w:ascii="PT Astra Serif" w:hAnsi="PT Astra Serif" w:cs="PT Astra Serif"/>
          <w:sz w:val="28"/>
          <w:szCs w:val="28"/>
        </w:rPr>
        <w:t xml:space="preserve">Расходы на осуществление передаваемых полномочий на осуществление первичного воинского учета производятся за счет субвенций из федерального бюджета на указанные цели, поэтому в Справочной таблице к отчету об исполнении консолидированного бюджета с</w:t>
      </w:r>
      <w:r>
        <w:rPr>
          <w:rFonts w:ascii="PT Astra Serif" w:hAnsi="PT Astra Serif" w:cs="PT Astra Serif"/>
          <w:sz w:val="28"/>
          <w:szCs w:val="28"/>
        </w:rPr>
        <w:t xml:space="preserve">убъекта Российской Федерации (форма 0503387) отражены по кодам строк 00801 «фонд оплаты труда государственных (муниципальных) органов», 00802 «иные выплаты персоналу государственных (муниципальных) органов, за исключением фонда оплаты труда», 00803 «взносы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по обязательному социальному страхованию на выплаты денежного содержания и иные выплаты работникам  государственных (муниципальных) органов» и в составе расходов на содержание органов местного самоуправления по кодам строк 00210 «фонд оплаты труда государ</w:t>
      </w:r>
      <w:r>
        <w:rPr>
          <w:rFonts w:ascii="PT Astra Serif" w:hAnsi="PT Astra Serif" w:cs="PT Astra Serif"/>
          <w:sz w:val="28"/>
          <w:szCs w:val="28"/>
        </w:rPr>
        <w:t xml:space="preserve">ственных  (муниципальных) органов», 00220 «иные выплаты персоналу государственных (муниципальных) органов, за исключением фонда оплаты  труда», 00230 «взносы по обязательному социальному страхованию на выплаты денежного содержания и иные выплаты работникам</w:t>
      </w:r>
      <w:r>
        <w:rPr>
          <w:rFonts w:ascii="PT Astra Serif" w:hAnsi="PT Astra Serif" w:cs="PT Astra Serif"/>
          <w:sz w:val="28"/>
          <w:szCs w:val="28"/>
        </w:rPr>
        <w:t xml:space="preserve">  государственных  (муниципальных) органов».</w:t>
      </w:r>
      <w:r>
        <w:rPr>
          <w:rFonts w:ascii="PT Astra Serif" w:hAnsi="PT Astra Serif" w:cs="PT Astra Serif"/>
          <w:sz w:val="28"/>
          <w:szCs w:val="28"/>
        </w:rPr>
      </w:r>
      <w:r/>
    </w:p>
    <w:p>
      <w:pPr>
        <w:ind w:firstLine="720"/>
        <w:jc w:val="both"/>
        <w:spacing w:after="0" w:line="240" w:lineRule="auto"/>
        <w:rPr>
          <w:rFonts w:ascii="PT Astra Serif" w:hAnsi="PT Astra Serif" w:cs="PT Astra Serif"/>
          <w:sz w:val="28"/>
          <w:szCs w:val="28"/>
          <w:highlight w:val="cyan"/>
        </w:rPr>
      </w:pPr>
      <w:r>
        <w:rPr>
          <w:rFonts w:ascii="PT Astra Serif" w:hAnsi="PT Astra Serif" w:cs="PT Astra Serif"/>
          <w:sz w:val="28"/>
          <w:szCs w:val="28"/>
        </w:rPr>
        <w:t xml:space="preserve">В показатели Баланса исполнения консолидированного бюджета субъекта Российской Федерации и бюджета террит</w:t>
      </w:r>
      <w:r>
        <w:rPr>
          <w:rFonts w:ascii="PT Astra Serif" w:hAnsi="PT Astra Serif" w:cs="PT Astra Serif"/>
          <w:sz w:val="28"/>
          <w:szCs w:val="28"/>
        </w:rPr>
        <w:t xml:space="preserve">ориального государственного внебюджетного фонда (ф. 0503320) по строкам 250 «Дебиторская задолженность по доходам (020500000, 020900000), всего», 510 «Доходы будущих периодов (040140000)» включаются начисленные доходы будущих периодов по предоставляемым в </w:t>
      </w:r>
      <w:r>
        <w:rPr>
          <w:rFonts w:ascii="PT Astra Serif" w:hAnsi="PT Astra Serif" w:cs="PT Astra Serif"/>
          <w:sz w:val="28"/>
          <w:szCs w:val="28"/>
        </w:rPr>
        <w:t xml:space="preserve">2023 </w:t>
      </w:r>
      <w:r>
        <w:rPr>
          <w:rFonts w:ascii="PT Astra Serif" w:hAnsi="PT Astra Serif" w:cs="PT Astra Serif"/>
          <w:sz w:val="28"/>
          <w:szCs w:val="28"/>
        </w:rPr>
        <w:t xml:space="preserve">– </w:t>
      </w:r>
      <w:r>
        <w:rPr>
          <w:rFonts w:ascii="PT Astra Serif" w:hAnsi="PT Astra Serif" w:cs="PT Astra Serif"/>
          <w:sz w:val="28"/>
          <w:szCs w:val="28"/>
        </w:rPr>
        <w:t xml:space="preserve">2025 </w:t>
      </w:r>
      <w:r>
        <w:rPr>
          <w:rFonts w:ascii="PT Astra Serif" w:hAnsi="PT Astra Serif" w:cs="PT Astra Serif"/>
          <w:sz w:val="28"/>
          <w:szCs w:val="28"/>
        </w:rPr>
        <w:t xml:space="preserve">гг. межбюджетным трансфертам, отраженные в графе «суммы, подлежащие исключению в рамках консолидированного бюджета субъекта РФ», из бюджета Саратовской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области в бюджеты муниципальных образований области по счетам бюджетного учета 1 205 51 000 «Расчеты по поступлениям текущего характера от других бюджетов бюджетной системы Российской Федерации» </w:t>
      </w:r>
      <w:r>
        <w:rPr>
          <w:rFonts w:ascii="PT Astra Serif" w:hAnsi="PT Astra Serif" w:cs="PT Astra Serif"/>
          <w:sz w:val="28"/>
          <w:szCs w:val="28"/>
        </w:rPr>
        <w:t xml:space="preserve">в сумме </w:t>
      </w:r>
      <w:r>
        <w:rPr>
          <w:rFonts w:ascii="PT Astra Serif" w:hAnsi="PT Astra Serif" w:cs="PT Astra Serif"/>
          <w:sz w:val="28"/>
          <w:szCs w:val="28"/>
        </w:rPr>
        <w:t xml:space="preserve">65 403 637 097 </w:t>
      </w:r>
      <w:r>
        <w:rPr>
          <w:rFonts w:ascii="PT Astra Serif" w:hAnsi="PT Astra Serif" w:cs="PT Astra Serif"/>
          <w:sz w:val="28"/>
          <w:szCs w:val="28"/>
        </w:rPr>
        <w:t xml:space="preserve">рублей </w:t>
      </w:r>
      <w:r>
        <w:rPr>
          <w:rFonts w:ascii="PT Astra Serif" w:hAnsi="PT Astra Serif" w:cs="PT Astra Serif"/>
          <w:sz w:val="28"/>
          <w:szCs w:val="28"/>
        </w:rPr>
        <w:t xml:space="preserve">99 </w:t>
      </w:r>
      <w:r>
        <w:rPr>
          <w:rFonts w:ascii="PT Astra Serif" w:hAnsi="PT Astra Serif" w:cs="PT Astra Serif"/>
          <w:sz w:val="28"/>
          <w:szCs w:val="28"/>
        </w:rPr>
        <w:t xml:space="preserve">копеек</w:t>
      </w:r>
      <w:r>
        <w:rPr>
          <w:rFonts w:ascii="PT Astra Serif" w:hAnsi="PT Astra Serif" w:cs="PT Astra Serif"/>
          <w:sz w:val="28"/>
          <w:szCs w:val="28"/>
        </w:rPr>
        <w:t xml:space="preserve">, 1 205 61 000 «Расчеты по поступлениям капитального характера от других бюджетов бюджетной системы Российской Федерации» в сумме </w:t>
      </w:r>
      <w:r>
        <w:rPr>
          <w:rFonts w:ascii="PT Astra Serif" w:hAnsi="PT Astra Serif" w:cs="PT Astra Serif"/>
          <w:sz w:val="28"/>
          <w:szCs w:val="28"/>
        </w:rPr>
        <w:t xml:space="preserve">1 947 343 078 </w:t>
      </w:r>
      <w:r>
        <w:rPr>
          <w:rFonts w:ascii="PT Astra Serif" w:hAnsi="PT Astra Serif" w:cs="PT Astra Serif"/>
          <w:sz w:val="28"/>
          <w:szCs w:val="28"/>
        </w:rPr>
        <w:t xml:space="preserve">рублей </w:t>
      </w:r>
      <w:r>
        <w:rPr>
          <w:rFonts w:ascii="PT Astra Serif" w:hAnsi="PT Astra Serif" w:cs="PT Astra Serif"/>
          <w:sz w:val="28"/>
          <w:szCs w:val="28"/>
        </w:rPr>
        <w:t xml:space="preserve">31 </w:t>
      </w:r>
      <w:r>
        <w:rPr>
          <w:rFonts w:ascii="PT Astra Serif" w:hAnsi="PT Astra Serif" w:cs="PT Astra Serif"/>
          <w:sz w:val="28"/>
          <w:szCs w:val="28"/>
        </w:rPr>
        <w:t xml:space="preserve">копейка</w:t>
      </w:r>
      <w:r>
        <w:rPr>
          <w:rFonts w:ascii="PT Astra Serif" w:hAnsi="PT Astra Serif" w:cs="PT Astra Serif"/>
          <w:sz w:val="28"/>
          <w:szCs w:val="28"/>
        </w:rPr>
        <w:t xml:space="preserve">, </w:t>
      </w:r>
      <w:r>
        <w:rPr>
          <w:rFonts w:ascii="PT Astra Serif" w:hAnsi="PT Astra Serif" w:cs="PT Astra Serif"/>
          <w:sz w:val="28"/>
          <w:szCs w:val="28"/>
        </w:rPr>
        <w:t xml:space="preserve">1 401 41 151 «Доходы будущих периодов к признанию в текущем году» в сумме </w:t>
      </w:r>
      <w:r>
        <w:rPr>
          <w:rFonts w:ascii="PT Astra Serif" w:hAnsi="PT Astra Serif" w:cs="PT Astra Serif"/>
          <w:sz w:val="28"/>
          <w:szCs w:val="28"/>
        </w:rPr>
        <w:t xml:space="preserve">125 291 037 </w:t>
      </w:r>
      <w:r>
        <w:rPr>
          <w:rFonts w:ascii="PT Astra Serif" w:hAnsi="PT Astra Serif" w:cs="PT Astra Serif"/>
          <w:sz w:val="28"/>
          <w:szCs w:val="28"/>
        </w:rPr>
        <w:t xml:space="preserve">рублей </w:t>
      </w:r>
      <w:r>
        <w:rPr>
          <w:rFonts w:ascii="PT Astra Serif" w:hAnsi="PT Astra Serif" w:cs="PT Astra Serif"/>
          <w:sz w:val="28"/>
          <w:szCs w:val="28"/>
        </w:rPr>
        <w:t xml:space="preserve">97 </w:t>
      </w:r>
      <w:r>
        <w:rPr>
          <w:rFonts w:ascii="PT Astra Serif" w:hAnsi="PT Astra Serif" w:cs="PT Astra Serif"/>
          <w:sz w:val="28"/>
          <w:szCs w:val="28"/>
        </w:rPr>
        <w:t xml:space="preserve">копеек, 1 401 49 151 «Доходы будущих периодов к признанию в очередные года» в сумме </w:t>
      </w:r>
      <w:r>
        <w:rPr>
          <w:rFonts w:ascii="PT Astra Serif" w:hAnsi="PT Astra Serif" w:cs="PT Astra Serif"/>
          <w:sz w:val="28"/>
          <w:szCs w:val="28"/>
        </w:rPr>
        <w:t xml:space="preserve">65 403</w:t>
      </w:r>
      <w:r>
        <w:rPr>
          <w:rFonts w:ascii="PT Astra Serif" w:hAnsi="PT Astra Serif" w:cs="PT Astra Serif"/>
          <w:sz w:val="28"/>
          <w:szCs w:val="28"/>
        </w:rPr>
        <w:t xml:space="preserve"> </w:t>
      </w:r>
      <w:r>
        <w:rPr>
          <w:rFonts w:ascii="PT Astra Serif" w:hAnsi="PT Astra Serif" w:cs="PT Astra Serif"/>
          <w:sz w:val="28"/>
          <w:szCs w:val="28"/>
        </w:rPr>
        <w:t xml:space="preserve">637 </w:t>
      </w:r>
      <w:r>
        <w:rPr>
          <w:rFonts w:ascii="PT Astra Serif" w:hAnsi="PT Astra Serif" w:cs="PT Astra Serif"/>
          <w:sz w:val="28"/>
          <w:szCs w:val="28"/>
        </w:rPr>
        <w:t xml:space="preserve">097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рублей </w:t>
      </w:r>
      <w:r>
        <w:rPr>
          <w:rFonts w:ascii="PT Astra Serif" w:hAnsi="PT Astra Serif" w:cs="PT Astra Serif"/>
          <w:sz w:val="28"/>
          <w:szCs w:val="28"/>
        </w:rPr>
        <w:t xml:space="preserve">99 </w:t>
      </w:r>
      <w:r>
        <w:rPr>
          <w:rFonts w:ascii="PT Astra Serif" w:hAnsi="PT Astra Serif" w:cs="PT Astra Serif"/>
          <w:sz w:val="28"/>
          <w:szCs w:val="28"/>
        </w:rPr>
        <w:t xml:space="preserve">копеек, 1 401 49 161 «Доходы будущих периодов к признанию в очередные года» в сумме </w:t>
      </w:r>
      <w:r>
        <w:rPr>
          <w:rFonts w:ascii="PT Astra Serif" w:hAnsi="PT Astra Serif" w:cs="PT Astra Serif"/>
          <w:sz w:val="28"/>
          <w:szCs w:val="28"/>
        </w:rPr>
        <w:t xml:space="preserve">1 947 343 078 </w:t>
      </w:r>
      <w:r>
        <w:rPr>
          <w:rFonts w:ascii="PT Astra Serif" w:hAnsi="PT Astra Serif" w:cs="PT Astra Serif"/>
          <w:sz w:val="28"/>
          <w:szCs w:val="28"/>
        </w:rPr>
        <w:t xml:space="preserve">рублей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31 </w:t>
      </w:r>
      <w:r>
        <w:rPr>
          <w:rFonts w:ascii="PT Astra Serif" w:hAnsi="PT Astra Serif" w:cs="PT Astra Serif"/>
          <w:sz w:val="28"/>
          <w:szCs w:val="28"/>
        </w:rPr>
        <w:t xml:space="preserve">копейка</w:t>
      </w:r>
      <w:r>
        <w:rPr>
          <w:rFonts w:ascii="PT Astra Serif" w:hAnsi="PT Astra Serif" w:cs="PT Astra Serif"/>
          <w:sz w:val="28"/>
          <w:szCs w:val="28"/>
        </w:rPr>
        <w:t xml:space="preserve">; </w:t>
      </w:r>
      <w:r>
        <w:rPr>
          <w:rFonts w:ascii="PT Astra Serif" w:hAnsi="PT Astra Serif" w:cs="PT Astra Serif"/>
          <w:sz w:val="28"/>
          <w:szCs w:val="28"/>
        </w:rPr>
        <w:t xml:space="preserve">из бюджетов муниципальных районов области в бюджеты городских и сельск</w:t>
      </w:r>
      <w:r>
        <w:rPr>
          <w:rFonts w:ascii="PT Astra Serif" w:hAnsi="PT Astra Serif" w:cs="PT Astra Serif"/>
          <w:sz w:val="28"/>
          <w:szCs w:val="28"/>
        </w:rPr>
        <w:t xml:space="preserve">их поселений области, из бюджетов городских и сельских поселений области в бюджеты муниципальных районов области по счетам бюджетного учета 1 205 51 000 «Расчеты по поступлениям текущего характера от других бюджетов бюджетной системы Российской Федерации» </w:t>
      </w:r>
      <w:r>
        <w:rPr>
          <w:rFonts w:ascii="PT Astra Serif" w:hAnsi="PT Astra Serif" w:cs="PT Astra Serif"/>
          <w:sz w:val="28"/>
          <w:szCs w:val="28"/>
        </w:rPr>
        <w:t xml:space="preserve">,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1 205 61 000 «Расчеты по поступлениям капитального характера от других бюджетов бюджетной системы Российской Федерации</w:t>
      </w:r>
      <w:r>
        <w:rPr>
          <w:rFonts w:ascii="PT Astra Serif" w:hAnsi="PT Astra Serif" w:cs="PT Astra Serif"/>
          <w:sz w:val="28"/>
          <w:szCs w:val="28"/>
        </w:rPr>
        <w:t xml:space="preserve">» </w:t>
      </w:r>
      <w:r>
        <w:rPr>
          <w:rFonts w:ascii="PT Astra Serif" w:hAnsi="PT Astra Serif" w:cs="PT Astra Serif"/>
          <w:sz w:val="28"/>
          <w:szCs w:val="28"/>
        </w:rPr>
        <w:t xml:space="preserve">в сумме </w:t>
      </w:r>
      <w:r>
        <w:rPr>
          <w:rFonts w:ascii="PT Astra Serif" w:hAnsi="PT Astra Serif" w:cs="PT Astra Serif"/>
          <w:sz w:val="28"/>
          <w:szCs w:val="28"/>
        </w:rPr>
        <w:t xml:space="preserve">3 013 211 792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рубл</w:t>
      </w:r>
      <w:r>
        <w:rPr>
          <w:rFonts w:ascii="PT Astra Serif" w:hAnsi="PT Astra Serif" w:cs="PT Astra Serif"/>
          <w:sz w:val="28"/>
          <w:szCs w:val="28"/>
        </w:rPr>
        <w:t xml:space="preserve">я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00 копеек,  1 401 40 151 «Доходы будущих периодов от поступлений текущего характера от других бюджетов бюджетной системы Российской Федерации»</w:t>
      </w:r>
      <w:r>
        <w:rPr>
          <w:rFonts w:ascii="PT Astra Serif" w:hAnsi="PT Astra Serif" w:cs="PT Astra Serif"/>
          <w:sz w:val="28"/>
          <w:szCs w:val="28"/>
        </w:rPr>
        <w:t xml:space="preserve">, 1 401 40 161 «</w:t>
      </w:r>
      <w:r>
        <w:rPr>
          <w:rFonts w:ascii="PT Astra Serif" w:hAnsi="PT Astra Serif" w:cs="PT Astra Serif"/>
          <w:sz w:val="28"/>
          <w:szCs w:val="28"/>
        </w:rPr>
        <w:t xml:space="preserve">Доходы от поступлений капитального характера от других бюджетов бюджетной системы Российской Федерации»</w:t>
      </w:r>
      <w:r>
        <w:rPr>
          <w:rFonts w:ascii="PT Astra Serif" w:hAnsi="PT Astra Serif" w:cs="PT Astra Serif"/>
          <w:sz w:val="28"/>
          <w:szCs w:val="28"/>
        </w:rPr>
        <w:t xml:space="preserve"> в сумме </w:t>
      </w:r>
      <w:r>
        <w:rPr>
          <w:rFonts w:ascii="PT Astra Serif" w:hAnsi="PT Astra Serif" w:cs="PT Astra Serif"/>
          <w:sz w:val="28"/>
          <w:szCs w:val="28"/>
        </w:rPr>
        <w:t xml:space="preserve">3 013 211 792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рубл</w:t>
      </w:r>
      <w:r>
        <w:rPr>
          <w:rFonts w:ascii="PT Astra Serif" w:hAnsi="PT Astra Serif" w:cs="PT Astra Serif"/>
          <w:sz w:val="28"/>
          <w:szCs w:val="28"/>
        </w:rPr>
        <w:t xml:space="preserve">я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00 копеек.</w:t>
      </w:r>
      <w:r>
        <w:rPr>
          <w:rFonts w:ascii="PT Astra Serif" w:hAnsi="PT Astra Serif" w:cs="PT Astra Serif"/>
          <w:sz w:val="28"/>
          <w:szCs w:val="28"/>
        </w:rPr>
      </w:r>
      <w:r/>
    </w:p>
    <w:p>
      <w:pPr>
        <w:ind w:firstLine="720"/>
        <w:jc w:val="both"/>
        <w:spacing w:after="0" w:line="240" w:lineRule="auto"/>
        <w:rPr>
          <w:rFonts w:ascii="PT Astra Serif" w:hAnsi="PT Astra Serif" w:cs="PT Astra Serif"/>
          <w:sz w:val="28"/>
          <w:szCs w:val="28"/>
          <w:highlight w:val="white"/>
        </w:rPr>
      </w:pPr>
      <w:r>
        <w:rPr>
          <w:rFonts w:ascii="PT Astra Serif" w:hAnsi="PT Astra Serif" w:cs="PT Astra Serif"/>
          <w:sz w:val="28"/>
          <w:szCs w:val="28"/>
          <w:highlight w:val="white"/>
        </w:rPr>
        <w:t xml:space="preserve">В показатели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формы 0503321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Консолидированн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ый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отчет о финансовых результатах деятельности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по строке 481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«в том числе: увеличение прочей дебиторской задолженности»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включены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суммы по данным счетов увеличений соответствующих аналитических счетов счета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1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20551000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«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Расчеты по поступлениям текущего характера от других бюджетов бюджетной системы Российской Федерации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»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, счета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1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20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561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000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«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Расчеты по поступлениям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капитального характера от других бюджетов бюджетной системы Российской Федерации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» в части начисленных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доходов будущих периодов по предоставляемым в 2023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–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 2025 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гг. межбюджетным трансфертам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.</w:t>
      </w:r>
      <w:r>
        <w:rPr>
          <w:rFonts w:ascii="PT Astra Serif" w:hAnsi="PT Astra Serif" w:cs="PT Astra Serif"/>
          <w:sz w:val="28"/>
          <w:szCs w:val="28"/>
          <w:highlight w:val="white"/>
        </w:rPr>
      </w:r>
      <w:r/>
    </w:p>
    <w:p>
      <w:pPr>
        <w:ind w:firstLine="709"/>
        <w:jc w:val="both"/>
        <w:spacing w:after="0" w:line="240" w:lineRule="auto"/>
        <w:rPr>
          <w:sz w:val="28"/>
          <w:szCs w:val="28"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В</w:t>
      </w:r>
      <w:r>
        <w:rPr>
          <w:rFonts w:ascii="PT Astra Serif" w:hAnsi="PT Astra Serif"/>
          <w:sz w:val="28"/>
          <w:szCs w:val="28"/>
          <w:highlight w:val="white"/>
        </w:rPr>
        <w:t xml:space="preserve"> форме 0503373 Сведениях об изменении остатков валюты баланса консолидированного бюджета по коду причины 6 «иные причины, предусмотренные законодательством Российской Федерации (с указанием причин, повлиявших на изменение показателей вступительного баланса</w:t>
      </w:r>
      <w:r>
        <w:rPr>
          <w:rFonts w:ascii="PT Astra Serif" w:hAnsi="PT Astra Serif"/>
          <w:sz w:val="28"/>
          <w:szCs w:val="28"/>
          <w:highlight w:val="white"/>
        </w:rPr>
        <w:t xml:space="preserve">)</w:t>
      </w:r>
      <w:r>
        <w:rPr>
          <w:rFonts w:ascii="PT Astra Serif" w:hAnsi="PT Astra Serif"/>
          <w:sz w:val="28"/>
          <w:szCs w:val="28"/>
          <w:highlight w:val="white"/>
        </w:rPr>
        <w:t xml:space="preserve">» по счету 120545000 «Расчеты по прочим доходам от сумм принудительного изъятия» (дебиторская задолженность) в сумме 540 000 рублей 00 копеек отражено включение в состав консолидированной отчетности об исполнении бюджета ранее не учитываемого областного ад</w:t>
      </w:r>
      <w:r>
        <w:rPr>
          <w:rFonts w:ascii="PT Astra Serif" w:hAnsi="PT Astra Serif"/>
          <w:sz w:val="28"/>
          <w:szCs w:val="28"/>
          <w:highlight w:val="white"/>
        </w:rPr>
        <w:t xml:space="preserve">м</w:t>
      </w:r>
      <w:r>
        <w:rPr>
          <w:rFonts w:ascii="PT Astra Serif" w:hAnsi="PT Astra Serif"/>
          <w:sz w:val="28"/>
          <w:szCs w:val="28"/>
          <w:highlight w:val="white"/>
        </w:rPr>
        <w:t xml:space="preserve">инистратора  поступлений местного бюджета, по счету 120545000 «Расчеты по прочим доходам от сумм принудительного изъятия» (кредиторская  задолженность) в сумме 671 рубль 71 копейка - включение в состав консолидированной отчетности об исполнении бюджета ран</w:t>
      </w:r>
      <w:r>
        <w:rPr>
          <w:rFonts w:ascii="PT Astra Serif" w:hAnsi="PT Astra Serif"/>
          <w:sz w:val="28"/>
          <w:szCs w:val="28"/>
          <w:highlight w:val="white"/>
        </w:rPr>
        <w:t xml:space="preserve">ее не учитываемого федерального администратора доходов.</w:t>
      </w:r>
      <w:r>
        <w:rPr>
          <w:sz w:val="28"/>
          <w:szCs w:val="28"/>
          <w:highlight w:val="white"/>
        </w:rPr>
      </w:r>
      <w:r/>
    </w:p>
    <w:p>
      <w:pPr>
        <w:ind w:firstLine="709"/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Показатель графы 21 «Кассовые расходы с начала реа</w:t>
      </w:r>
      <w:r>
        <w:rPr>
          <w:rFonts w:ascii="PT Astra Serif" w:hAnsi="PT Astra Serif" w:cs="PT Astra Serif"/>
          <w:sz w:val="28"/>
          <w:szCs w:val="28"/>
        </w:rPr>
        <w:t xml:space="preserve">лизации инвестиционного проекта – всего» в форме 0503190 Сведения о вложениях в объекты недвижимого имущества, объектах незавершенного строительства меньше, чем показа</w:t>
      </w:r>
      <w:r>
        <w:rPr>
          <w:rFonts w:ascii="PT Astra Serif" w:hAnsi="PT Astra Serif" w:cs="PT Astra Serif"/>
          <w:sz w:val="28"/>
          <w:szCs w:val="28"/>
        </w:rPr>
        <w:t xml:space="preserve">тель графы 20 «фактические (по счету 0106Х1000) на конец года» в связи с безвозмездной передачей фактических затрат от одного балансодержателя к другому с указанием фактических расходов (переданы показатели сформированных вложений в недвижимое имущество по</w:t>
      </w:r>
      <w:r>
        <w:rPr>
          <w:rFonts w:ascii="PT Astra Serif" w:hAnsi="PT Astra Serif" w:cs="PT Astra Serif"/>
          <w:sz w:val="28"/>
          <w:szCs w:val="28"/>
        </w:rPr>
        <w:t xml:space="preserve"> акту приема-передачи НФА), без передачи показателей ранее произведенных кассовых расходов (по акту приема-передачи НФА не передаются).</w:t>
      </w:r>
      <w:r>
        <w:rPr>
          <w:rFonts w:ascii="PT Astra Serif" w:hAnsi="PT Astra Serif" w:cs="PT Astra Serif"/>
          <w:sz w:val="28"/>
          <w:szCs w:val="28"/>
        </w:rPr>
      </w:r>
      <w:r/>
    </w:p>
    <w:p>
      <w:pPr>
        <w:ind w:firstLine="709"/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Показатели графы 17 «фактические по счету (0 106Х1000) на начало года» в форме 0503190 Сведения о в</w:t>
      </w:r>
      <w:r>
        <w:rPr>
          <w:rFonts w:ascii="PT Astra Serif" w:hAnsi="PT Astra Serif" w:cs="PT Astra Serif"/>
          <w:sz w:val="28"/>
          <w:szCs w:val="28"/>
        </w:rPr>
        <w:t xml:space="preserve">ложениях в объекты недвижимого имущества, объектах незавершенного строительства не соответствуют показателям предыдущего года графы 20 «фактические по счету (0 106Х1000) на конец года»: в связи с изменением валюты баланса – уменьшение входящего остатка на </w:t>
      </w:r>
      <w:r>
        <w:rPr>
          <w:rFonts w:ascii="PT Astra Serif" w:hAnsi="PT Astra Serif" w:cs="PT Astra Serif"/>
          <w:sz w:val="28"/>
          <w:szCs w:val="28"/>
        </w:rPr>
        <w:t xml:space="preserve">сумму</w:t>
      </w:r>
      <w:r>
        <w:rPr>
          <w:rFonts w:ascii="PT Astra Serif" w:hAnsi="PT Astra Serif" w:cs="PT Astra Serif"/>
          <w:sz w:val="28"/>
          <w:szCs w:val="28"/>
        </w:rPr>
        <w:t xml:space="preserve"> 316 840 163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рубл</w:t>
      </w:r>
      <w:r>
        <w:rPr>
          <w:rFonts w:ascii="PT Astra Serif" w:hAnsi="PT Astra Serif" w:cs="PT Astra Serif"/>
          <w:sz w:val="28"/>
          <w:szCs w:val="28"/>
        </w:rPr>
        <w:t xml:space="preserve">я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72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копе</w:t>
      </w:r>
      <w:r>
        <w:rPr>
          <w:rFonts w:ascii="PT Astra Serif" w:hAnsi="PT Astra Serif" w:cs="PT Astra Serif"/>
          <w:sz w:val="28"/>
          <w:szCs w:val="28"/>
        </w:rPr>
        <w:t xml:space="preserve">йки</w:t>
      </w:r>
      <w:r>
        <w:rPr>
          <w:rFonts w:ascii="PT Astra Serif" w:hAnsi="PT Astra Serif" w:cs="PT Astra Serif"/>
          <w:sz w:val="28"/>
          <w:szCs w:val="28"/>
        </w:rPr>
        <w:t xml:space="preserve">,  в связи с исправлением ошибок</w:t>
      </w:r>
      <w:r>
        <w:rPr>
          <w:rFonts w:ascii="PT Astra Serif" w:hAnsi="PT Astra Serif" w:cs="PT Astra Serif"/>
          <w:sz w:val="28"/>
          <w:szCs w:val="28"/>
        </w:rPr>
        <w:t xml:space="preserve"> прошлых лет в бюджетном учете.</w:t>
      </w:r>
      <w:r>
        <w:rPr>
          <w:rFonts w:ascii="PT Astra Serif" w:hAnsi="PT Astra Serif" w:cs="PT Astra Serif"/>
          <w:sz w:val="28"/>
          <w:szCs w:val="28"/>
        </w:rPr>
      </w:r>
      <w:r/>
    </w:p>
    <w:p>
      <w:pPr>
        <w:ind w:firstLine="709"/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В форме 0503190 Сведения о вложениях в объекты недвижимого имущества, объектах незавершенного строительства сумма фактических расходов (в связке ИНН гра</w:t>
      </w:r>
      <w:r>
        <w:rPr>
          <w:rFonts w:ascii="PT Astra Serif" w:hAnsi="PT Astra Serif" w:cs="PT Astra Serif"/>
          <w:sz w:val="28"/>
          <w:szCs w:val="28"/>
        </w:rPr>
        <w:t xml:space="preserve">фа 2, учетный номер граф 5, 6) на начало года не соответствует показателям  предыдущего года (в связке ИНН графы 3, учетный номер граф 6, 7) в связи с изменением и (или) корректировкой данных по объектам (уточнение наименования объекта, ИНН учреждения, код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 xml:space="preserve">объекта, кадастровый номер, сметная стоимость и т. д.) по причине исправления ошибок прошлых лет и приведение в соответствие учетного кода объекта г</w:t>
      </w:r>
      <w:r>
        <w:rPr>
          <w:rFonts w:ascii="PT Astra Serif" w:hAnsi="PT Astra Serif" w:cs="PT Astra Serif"/>
          <w:sz w:val="28"/>
          <w:szCs w:val="28"/>
        </w:rPr>
        <w:t xml:space="preserve">рафы 5,  с учетом новых требований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 декабря 2010 г. N 191н.</w:t>
      </w:r>
      <w:r>
        <w:rPr>
          <w:rFonts w:ascii="PT Astra Serif" w:hAnsi="PT Astra Serif" w:cs="PT Astra Serif"/>
          <w:sz w:val="28"/>
          <w:szCs w:val="28"/>
        </w:rPr>
        <w:t xml:space="preserve">Согласно пункту 7 приказа Министерства финансов Российской Федерации от 28 декабря 2010 года № 191н «Об утверждении Инструкции о порядке составления и пр</w:t>
      </w:r>
      <w:r>
        <w:rPr>
          <w:rFonts w:ascii="PT Astra Serif" w:hAnsi="PT Astra Serif" w:cs="PT Astra Serif"/>
          <w:sz w:val="28"/>
          <w:szCs w:val="28"/>
        </w:rPr>
        <w:t xml:space="preserve">едставления годовой, квартальной и месячной отчетности об исполнении бюджетов бюджетной системы Российской Федерации», в целях составления годовой бухгалтерской отчетности экономическими субъектами области проводилась инвентаризация активов и обязательств.</w:t>
      </w:r>
      <w:r>
        <w:rPr>
          <w:rFonts w:ascii="PT Astra Serif" w:hAnsi="PT Astra Serif" w:cs="PT Astra Serif"/>
          <w:sz w:val="28"/>
          <w:szCs w:val="28"/>
        </w:rPr>
      </w:r>
      <w:r/>
    </w:p>
    <w:p>
      <w:pPr>
        <w:ind w:firstLine="709"/>
        <w:jc w:val="both"/>
        <w:spacing w:after="0" w:line="240" w:lineRule="auto"/>
        <w:rPr>
          <w:rFonts w:ascii="PT Astra Serif" w:hAnsi="PT Astra Serif" w:cs="PT Astra Serif"/>
          <w:sz w:val="28"/>
          <w:szCs w:val="28"/>
          <w:highlight w:val="yellow"/>
        </w:rPr>
      </w:pPr>
      <w:r>
        <w:rPr>
          <w:rFonts w:ascii="PT Astra Serif" w:hAnsi="PT Astra Serif" w:cs="PT Astra Serif"/>
          <w:sz w:val="28"/>
          <w:szCs w:val="28"/>
        </w:rPr>
        <w:t xml:space="preserve">Выявленные при инвентаризации расхождения между фактическим наличием объектов и данными регистров бухгалтерского учета отражены в бухгалтерском учете в установленном законодательством порядке.</w:t>
      </w:r>
      <w:r>
        <w:rPr>
          <w:rFonts w:ascii="PT Astra Serif" w:hAnsi="PT Astra Serif" w:cs="PT Astra Serif"/>
          <w:sz w:val="28"/>
          <w:szCs w:val="28"/>
          <w:highlight w:val="yellow"/>
        </w:rPr>
      </w:r>
      <w:r/>
    </w:p>
    <w:p>
      <w:pPr>
        <w:ind w:firstLine="53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Согласно пункту 7 приказа Министерства финансов Российской Федерации от 28 декабря 2010 года № 191н «Об утверждении Инструкции о порядке составления и представления годовой, квартальной и месячной отчетности об исполнен</w:t>
      </w:r>
      <w:r>
        <w:rPr>
          <w:rFonts w:eastAsiaTheme="minorHAnsi"/>
          <w:sz w:val="28"/>
          <w:szCs w:val="28"/>
          <w:highlight w:val="white"/>
        </w:rPr>
        <w:t xml:space="preserve">ии бюджетов бюджетной системы Российской Федерации», в целях составления годовой бухгалтерской отчетности экономическими субъектами области проводилась инвентаризация активов и обязательств.</w:t>
      </w:r>
      <w:r>
        <w:rPr>
          <w:highlight w:val="white"/>
        </w:rPr>
      </w:r>
      <w:r/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Выявленные при инвентаризации расхождения между фактическим налич</w:t>
      </w:r>
      <w:r>
        <w:rPr>
          <w:rFonts w:eastAsiaTheme="minorHAnsi"/>
          <w:sz w:val="28"/>
          <w:szCs w:val="28"/>
          <w:highlight w:val="white"/>
        </w:rPr>
        <w:t xml:space="preserve">ием объектов и данными регистров бухгалтерского учета отражены в бухгалтерском учете в установленном законодательством порядке.</w:t>
      </w:r>
      <w:r>
        <w:rPr>
          <w:highlight w:val="white"/>
        </w:rPr>
      </w:r>
      <w:r/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В связи с отсутствием числового значения в составе бюджетной отчетности об исполнении консолидированного бюджета субъекта Россий</w:t>
      </w:r>
      <w:r>
        <w:rPr>
          <w:rFonts w:eastAsiaTheme="minorHAnsi"/>
          <w:sz w:val="28"/>
          <w:szCs w:val="28"/>
          <w:highlight w:val="white"/>
        </w:rPr>
        <w:t xml:space="preserve">ской Федерации за отчетный период не представлена</w:t>
      </w:r>
      <w:r>
        <w:rPr>
          <w:rFonts w:eastAsiaTheme="minorHAnsi"/>
          <w:sz w:val="28"/>
          <w:szCs w:val="28"/>
          <w:highlight w:val="white"/>
        </w:rPr>
        <w:t xml:space="preserve"> Справка по консолидируемым расчетам (ф. 0503125) по счетам </w:t>
      </w:r>
      <w:r>
        <w:rPr>
          <w:rFonts w:ascii="PT Astra Serif" w:hAnsi="PT Astra Serif"/>
          <w:sz w:val="28"/>
          <w:szCs w:val="28"/>
          <w:highlight w:val="white"/>
        </w:rPr>
        <w:t xml:space="preserve">1 206 51 000, 1 301 21 000, 1 301 21 710, 1 301 31 000, 301 31 710, 301 31 810, 1 301 21 810, </w:t>
      </w:r>
      <w:r>
        <w:rPr>
          <w:rFonts w:ascii="PT Astra Serif" w:hAnsi="PT Astra Serif"/>
          <w:sz w:val="28"/>
          <w:szCs w:val="28"/>
          <w:highlight w:val="white"/>
        </w:rPr>
        <w:t xml:space="preserve">1 401 10 189.</w:t>
      </w:r>
      <w:r>
        <w:rPr>
          <w:sz w:val="28"/>
          <w:szCs w:val="28"/>
          <w:highlight w:val="white"/>
        </w:rPr>
      </w:r>
      <w:r/>
    </w:p>
    <w:p>
      <w:pPr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</w:r>
      <w:r>
        <w:rPr>
          <w:sz w:val="28"/>
          <w:szCs w:val="28"/>
          <w:highlight w:val="yellow"/>
        </w:rPr>
      </w:r>
    </w:p>
    <w:p>
      <w:pPr>
        <w:ind w:firstLine="709"/>
        <w:jc w:val="both"/>
        <w:rPr>
          <w:sz w:val="28"/>
          <w:szCs w:val="28"/>
          <w:highlight w:val="yellow"/>
        </w:rPr>
      </w:pPr>
      <w:r>
        <w:rPr>
          <w:rFonts w:eastAsiaTheme="minorHAnsi"/>
          <w:sz w:val="28"/>
          <w:szCs w:val="28"/>
          <w:highlight w:val="yellow"/>
        </w:rPr>
      </w:r>
      <w:r>
        <w:rPr>
          <w:highlight w:val="yellow"/>
        </w:rPr>
      </w:r>
      <w:r/>
    </w:p>
    <w:p>
      <w:pPr>
        <w:ind w:firstLine="709"/>
        <w:jc w:val="both"/>
        <w:rPr>
          <w:sz w:val="28"/>
          <w:szCs w:val="28"/>
          <w:highlight w:val="yellow"/>
        </w:rPr>
      </w:pPr>
      <w:r>
        <w:rPr>
          <w:rFonts w:eastAsiaTheme="minorHAnsi"/>
          <w:sz w:val="28"/>
          <w:szCs w:val="28"/>
          <w:highlight w:val="yellow"/>
        </w:rPr>
      </w:r>
      <w:r>
        <w:rPr>
          <w:highlight w:val="yellow"/>
        </w:rPr>
      </w:r>
      <w:r/>
    </w:p>
    <w:tbl>
      <w:tblPr>
        <w:tblStyle w:val="889"/>
        <w:tblpPr w:horzAnchor="margin" w:tblpXSpec="left" w:vertAnchor="text" w:tblpY="135" w:leftFromText="180" w:topFromText="0" w:rightFromText="180" w:bottomFromText="0"/>
        <w:tblW w:w="993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7470"/>
        <w:gridCol w:w="2465"/>
      </w:tblGrid>
      <w:tr>
        <w:trPr>
          <w:trHeight w:val="1421"/>
        </w:trPr>
        <w:tc>
          <w:tcPr>
            <w:tcW w:w="7470" w:type="dxa"/>
            <w:textDirection w:val="lrTb"/>
            <w:noWrap w:val="false"/>
          </w:tcPr>
          <w:p>
            <w:pPr>
              <w:rPr>
                <w:b/>
                <w:sz w:val="28"/>
                <w:szCs w:val="28"/>
                <w:highlight w:val="white"/>
              </w:rPr>
            </w:pPr>
            <w:r>
              <w:rPr>
                <w:b/>
                <w:sz w:val="28"/>
                <w:szCs w:val="28"/>
                <w:highlight w:val="white"/>
              </w:rPr>
              <w:t xml:space="preserve">М</w:t>
            </w:r>
            <w:r>
              <w:rPr>
                <w:b/>
                <w:sz w:val="28"/>
                <w:szCs w:val="28"/>
                <w:highlight w:val="white"/>
              </w:rPr>
              <w:t xml:space="preserve">инистр финансов </w:t>
            </w:r>
            <w:r>
              <w:rPr>
                <w:highlight w:val="white"/>
              </w:rPr>
            </w:r>
            <w:r/>
          </w:p>
          <w:p>
            <w:pPr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sz w:val="28"/>
                <w:szCs w:val="28"/>
                <w:highlight w:val="white"/>
              </w:rPr>
              <w:t xml:space="preserve">Саратовской области </w:t>
            </w:r>
            <w:r>
              <w:rPr>
                <w:highlight w:val="white"/>
              </w:rPr>
            </w:r>
            <w:r/>
          </w:p>
        </w:tc>
        <w:tc>
          <w:tcPr>
            <w:tcW w:w="2465" w:type="dxa"/>
            <w:textDirection w:val="lrTb"/>
            <w:noWrap w:val="false"/>
          </w:tcPr>
          <w:p>
            <w:pPr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</w:r>
            <w:r>
              <w:rPr>
                <w:highlight w:val="white"/>
              </w:rPr>
            </w:r>
            <w:r/>
          </w:p>
          <w:p>
            <w:pPr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  <w:t xml:space="preserve">И.С. </w:t>
            </w:r>
            <w:r>
              <w:rPr>
                <w:b/>
                <w:bCs/>
                <w:sz w:val="28"/>
                <w:szCs w:val="28"/>
                <w:highlight w:val="white"/>
              </w:rPr>
              <w:t xml:space="preserve">Бегинина</w:t>
            </w:r>
            <w:r>
              <w:rPr>
                <w:highlight w:val="white"/>
              </w:rPr>
            </w:r>
            <w:r/>
          </w:p>
        </w:tc>
      </w:tr>
      <w:tr>
        <w:trPr>
          <w:trHeight w:val="1316"/>
        </w:trPr>
        <w:tc>
          <w:tcPr>
            <w:tcW w:w="7470" w:type="dxa"/>
            <w:textDirection w:val="lrTb"/>
            <w:noWrap w:val="false"/>
          </w:tcPr>
          <w:p>
            <w:pPr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</w:r>
            <w:r>
              <w:rPr>
                <w:highlight w:val="white"/>
              </w:rPr>
            </w:r>
            <w:r/>
          </w:p>
          <w:p>
            <w:pPr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none"/>
              </w:rPr>
              <w:t xml:space="preserve">Исполняющий обязанности </w:t>
            </w:r>
            <w:r>
              <w:rPr>
                <w:b/>
                <w:bCs/>
                <w:sz w:val="28"/>
                <w:szCs w:val="28"/>
                <w:highlight w:val="white"/>
              </w:rPr>
              <w:t xml:space="preserve">начальника</w:t>
            </w:r>
            <w:r>
              <w:rPr>
                <w:b/>
                <w:bCs/>
                <w:sz w:val="28"/>
                <w:szCs w:val="28"/>
                <w:highlight w:val="white"/>
              </w:rPr>
              <w:br/>
              <w:t xml:space="preserve">бюджетного управления</w:t>
            </w:r>
            <w:r>
              <w:rPr>
                <w:highlight w:val="white"/>
              </w:rPr>
            </w:r>
            <w:r/>
          </w:p>
          <w:p>
            <w:pPr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</w:r>
            <w:r>
              <w:rPr>
                <w:highlight w:val="white"/>
              </w:rPr>
            </w:r>
            <w:r/>
          </w:p>
          <w:p>
            <w:pPr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</w:r>
            <w:r>
              <w:rPr>
                <w:highlight w:val="white"/>
              </w:rPr>
            </w:r>
            <w:r/>
          </w:p>
        </w:tc>
        <w:tc>
          <w:tcPr>
            <w:tcW w:w="2465" w:type="dxa"/>
            <w:textDirection w:val="lrTb"/>
            <w:noWrap w:val="false"/>
          </w:tcPr>
          <w:p>
            <w:pPr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</w:r>
            <w:r>
              <w:rPr>
                <w:highlight w:val="white"/>
              </w:rPr>
            </w:r>
            <w:r/>
          </w:p>
          <w:p>
            <w:pPr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none"/>
              </w:rPr>
              <w:t xml:space="preserve">О.В. Петрова</w:t>
            </w:r>
            <w:r>
              <w:rPr>
                <w:b/>
                <w:bCs/>
                <w:sz w:val="28"/>
                <w:szCs w:val="28"/>
                <w:highlight w:val="white"/>
              </w:rPr>
            </w:r>
            <w:r/>
          </w:p>
        </w:tc>
      </w:tr>
      <w:tr>
        <w:trPr>
          <w:trHeight w:val="997"/>
        </w:trPr>
        <w:tc>
          <w:tcPr>
            <w:tcW w:w="7470" w:type="dxa"/>
            <w:textDirection w:val="lrTb"/>
            <w:noWrap w:val="false"/>
          </w:tcPr>
          <w:p>
            <w:pPr>
              <w:jc w:val="both"/>
              <w:shd w:val="clear" w:color="auto" w:fill="ffffff"/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  <w:t xml:space="preserve">Начальник управления </w:t>
            </w:r>
            <w:r>
              <w:rPr>
                <w:highlight w:val="white"/>
              </w:rPr>
            </w:r>
            <w:r/>
          </w:p>
          <w:p>
            <w:pPr>
              <w:jc w:val="both"/>
              <w:shd w:val="clear" w:color="auto" w:fill="ffffff"/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  <w:t xml:space="preserve">бюджетного учета и отчетности, </w:t>
            </w:r>
            <w:r>
              <w:rPr>
                <w:highlight w:val="white"/>
              </w:rPr>
            </w:r>
            <w:r/>
          </w:p>
          <w:p>
            <w:pPr>
              <w:jc w:val="both"/>
              <w:shd w:val="clear" w:color="auto" w:fill="ffffff"/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  <w:t xml:space="preserve">главный бухгалтер министерства </w:t>
            </w:r>
            <w:r>
              <w:rPr>
                <w:highlight w:val="white"/>
              </w:rPr>
            </w:r>
            <w:r/>
          </w:p>
          <w:p>
            <w:pPr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  <w:t xml:space="preserve">финансов Саратовской области</w:t>
            </w:r>
            <w:r>
              <w:rPr>
                <w:highlight w:val="white"/>
              </w:rPr>
            </w:r>
            <w:r/>
          </w:p>
        </w:tc>
        <w:tc>
          <w:tcPr>
            <w:tcW w:w="2465" w:type="dxa"/>
            <w:textDirection w:val="lrTb"/>
            <w:noWrap w:val="false"/>
          </w:tcPr>
          <w:p>
            <w:pPr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</w:r>
            <w:r>
              <w:rPr>
                <w:highlight w:val="white"/>
              </w:rPr>
            </w:r>
            <w:r/>
          </w:p>
          <w:p>
            <w:pPr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</w:r>
            <w:r>
              <w:rPr>
                <w:highlight w:val="white"/>
              </w:rPr>
            </w:r>
            <w:r/>
          </w:p>
          <w:p>
            <w:pPr>
              <w:rPr>
                <w:b/>
                <w:sz w:val="28"/>
                <w:szCs w:val="28"/>
                <w:highlight w:val="white"/>
              </w:rPr>
            </w:pPr>
            <w:r>
              <w:rPr>
                <w:b/>
                <w:sz w:val="28"/>
                <w:szCs w:val="28"/>
                <w:highlight w:val="white"/>
              </w:rPr>
            </w:r>
            <w:r>
              <w:rPr>
                <w:highlight w:val="white"/>
              </w:rPr>
            </w:r>
            <w:r/>
          </w:p>
          <w:p>
            <w:pPr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  <w:t xml:space="preserve">А.С. Яшков</w:t>
            </w:r>
            <w:r>
              <w:rPr>
                <w:highlight w:val="white"/>
              </w:rPr>
            </w:r>
            <w:r/>
          </w:p>
        </w:tc>
      </w:tr>
    </w:tbl>
    <w:p>
      <w:pPr>
        <w:rPr>
          <w:b/>
          <w:bCs/>
          <w:sz w:val="28"/>
          <w:szCs w:val="28"/>
          <w:highlight w:val="yellow"/>
        </w:rPr>
      </w:pPr>
      <w:r>
        <w:rPr>
          <w:rFonts w:eastAsiaTheme="minorHAnsi"/>
          <w:b/>
          <w:bCs/>
          <w:sz w:val="28"/>
          <w:szCs w:val="28"/>
          <w:highlight w:val="yellow"/>
        </w:rPr>
      </w:r>
      <w:r>
        <w:rPr>
          <w:highlight w:val="yellow"/>
        </w:rPr>
      </w:r>
      <w:r/>
    </w:p>
    <w:p>
      <w:pPr>
        <w:ind w:firstLine="567"/>
        <w:jc w:val="both"/>
        <w:widowControl w:val="off"/>
        <w:rPr>
          <w:sz w:val="28"/>
          <w:szCs w:val="28"/>
          <w:highlight w:val="yellow"/>
        </w:rPr>
      </w:pPr>
      <w:r>
        <w:rPr>
          <w:rFonts w:eastAsiaTheme="minorHAnsi"/>
          <w:sz w:val="28"/>
          <w:szCs w:val="28"/>
          <w:highlight w:val="yellow"/>
        </w:rPr>
      </w:r>
      <w:r>
        <w:rPr>
          <w:highlight w:val="yellow"/>
        </w:rPr>
      </w:r>
      <w:r/>
    </w:p>
    <w:sectPr>
      <w:headerReference w:type="default" r:id="rId9"/>
      <w:headerReference w:type="even" r:id="rId10"/>
      <w:footnotePr/>
      <w:endnotePr/>
      <w:type w:val="nextPage"/>
      <w:pgSz w:w="11907" w:h="16840" w:orient="portrait"/>
      <w:pgMar w:top="851" w:right="680" w:bottom="567" w:left="1361" w:header="454" w:footer="567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Tahoma">
    <w:panose1 w:val="020B0604030504040204"/>
  </w:font>
  <w:font w:name="Courier New">
    <w:panose1 w:val="02070309020205020404"/>
  </w:font>
  <w:font w:name="consultant">
    <w:panose1 w:val="020B060602020203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570728670"/>
      <w:docPartObj>
        <w:docPartGallery w:val="Page Numbers (Top of Page)"/>
        <w:docPartUnique w:val="true"/>
      </w:docPartObj>
      <w:rPr/>
    </w:sdtPr>
    <w:sdtContent>
      <w:p>
        <w:pPr>
          <w:pStyle w:val="879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14</w:t>
        </w:r>
        <w:r>
          <w:fldChar w:fldCharType="end"/>
        </w:r>
        <w:r/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9"/>
      <w:rPr>
        <w:rStyle w:val="888"/>
      </w:rPr>
      <w:framePr w:wrap="around" w:vAnchor="text" w:hAnchor="margin" w:xAlign="right" w:y="1"/>
    </w:pPr>
    <w:r>
      <w:rPr>
        <w:rStyle w:val="888"/>
      </w:rPr>
      <w:fldChar w:fldCharType="begin"/>
    </w:r>
    <w:r>
      <w:rPr>
        <w:rStyle w:val="888"/>
      </w:rPr>
      <w:instrText xml:space="preserve">PAGE  </w:instrText>
    </w:r>
    <w:r>
      <w:rPr>
        <w:rStyle w:val="888"/>
      </w:rPr>
      <w:fldChar w:fldCharType="separate"/>
    </w:r>
    <w:r>
      <w:rPr>
        <w:rStyle w:val="888"/>
      </w:rPr>
      <w:t xml:space="preserve">10</w:t>
    </w:r>
    <w:r>
      <w:rPr>
        <w:rStyle w:val="888"/>
      </w:rPr>
      <w:fldChar w:fldCharType="end"/>
    </w:r>
    <w:r/>
  </w:p>
  <w:p>
    <w:pPr>
      <w:pStyle w:val="879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135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855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75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95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15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35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55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75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95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4" w:default="1">
    <w:name w:val="Normal"/>
    <w:qFormat/>
    <w:rPr>
      <w:sz w:val="26"/>
    </w:rPr>
  </w:style>
  <w:style w:type="paragraph" w:styleId="675">
    <w:name w:val="Heading 1"/>
    <w:basedOn w:val="674"/>
    <w:next w:val="674"/>
    <w:link w:val="703"/>
    <w:qFormat/>
    <w:pPr>
      <w:keepNext/>
      <w:outlineLvl w:val="0"/>
    </w:pPr>
    <w:rPr>
      <w:b/>
    </w:rPr>
  </w:style>
  <w:style w:type="paragraph" w:styleId="676">
    <w:name w:val="Heading 2"/>
    <w:basedOn w:val="674"/>
    <w:next w:val="674"/>
    <w:link w:val="704"/>
    <w:qFormat/>
    <w:pPr>
      <w:jc w:val="both"/>
      <w:keepNext/>
      <w:outlineLvl w:val="1"/>
    </w:pPr>
    <w:rPr>
      <w:b/>
      <w:bCs/>
    </w:rPr>
  </w:style>
  <w:style w:type="paragraph" w:styleId="677">
    <w:name w:val="Heading 3"/>
    <w:basedOn w:val="674"/>
    <w:next w:val="674"/>
    <w:link w:val="70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8">
    <w:name w:val="Heading 4"/>
    <w:basedOn w:val="674"/>
    <w:next w:val="674"/>
    <w:link w:val="70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9">
    <w:name w:val="Heading 5"/>
    <w:basedOn w:val="674"/>
    <w:next w:val="674"/>
    <w:link w:val="70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0">
    <w:name w:val="Heading 6"/>
    <w:basedOn w:val="674"/>
    <w:next w:val="674"/>
    <w:link w:val="70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81">
    <w:name w:val="Heading 7"/>
    <w:basedOn w:val="674"/>
    <w:next w:val="674"/>
    <w:link w:val="70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2">
    <w:name w:val="Heading 8"/>
    <w:basedOn w:val="674"/>
    <w:next w:val="674"/>
    <w:link w:val="71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3">
    <w:name w:val="Heading 9"/>
    <w:basedOn w:val="674"/>
    <w:next w:val="674"/>
    <w:link w:val="71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4" w:default="1">
    <w:name w:val="Default Paragraph Font"/>
    <w:uiPriority w:val="1"/>
    <w:semiHidden/>
    <w:unhideWhenUsed/>
  </w:style>
  <w:style w:type="table" w:styleId="68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6" w:default="1">
    <w:name w:val="No List"/>
    <w:uiPriority w:val="99"/>
    <w:semiHidden/>
    <w:unhideWhenUsed/>
  </w:style>
  <w:style w:type="character" w:styleId="687" w:customStyle="1">
    <w:name w:val="Heading 1 Char"/>
    <w:basedOn w:val="684"/>
    <w:uiPriority w:val="9"/>
    <w:rPr>
      <w:rFonts w:ascii="Arial" w:hAnsi="Arial" w:eastAsia="Arial" w:cs="Arial"/>
      <w:sz w:val="40"/>
      <w:szCs w:val="40"/>
    </w:rPr>
  </w:style>
  <w:style w:type="character" w:styleId="688" w:customStyle="1">
    <w:name w:val="Heading 2 Char"/>
    <w:basedOn w:val="684"/>
    <w:uiPriority w:val="9"/>
    <w:rPr>
      <w:rFonts w:ascii="Arial" w:hAnsi="Arial" w:eastAsia="Arial" w:cs="Arial"/>
      <w:sz w:val="34"/>
    </w:rPr>
  </w:style>
  <w:style w:type="character" w:styleId="689" w:customStyle="1">
    <w:name w:val="Heading 3 Char"/>
    <w:basedOn w:val="684"/>
    <w:uiPriority w:val="9"/>
    <w:rPr>
      <w:rFonts w:ascii="Arial" w:hAnsi="Arial" w:eastAsia="Arial" w:cs="Arial"/>
      <w:sz w:val="30"/>
      <w:szCs w:val="30"/>
    </w:rPr>
  </w:style>
  <w:style w:type="character" w:styleId="690" w:customStyle="1">
    <w:name w:val="Heading 4 Char"/>
    <w:basedOn w:val="684"/>
    <w:uiPriority w:val="9"/>
    <w:rPr>
      <w:rFonts w:ascii="Arial" w:hAnsi="Arial" w:eastAsia="Arial" w:cs="Arial"/>
      <w:b/>
      <w:bCs/>
      <w:sz w:val="26"/>
      <w:szCs w:val="26"/>
    </w:rPr>
  </w:style>
  <w:style w:type="character" w:styleId="691" w:customStyle="1">
    <w:name w:val="Heading 5 Char"/>
    <w:basedOn w:val="684"/>
    <w:uiPriority w:val="9"/>
    <w:rPr>
      <w:rFonts w:ascii="Arial" w:hAnsi="Arial" w:eastAsia="Arial" w:cs="Arial"/>
      <w:b/>
      <w:bCs/>
      <w:sz w:val="24"/>
      <w:szCs w:val="24"/>
    </w:rPr>
  </w:style>
  <w:style w:type="character" w:styleId="692" w:customStyle="1">
    <w:name w:val="Heading 6 Char"/>
    <w:basedOn w:val="684"/>
    <w:uiPriority w:val="9"/>
    <w:rPr>
      <w:rFonts w:ascii="Arial" w:hAnsi="Arial" w:eastAsia="Arial" w:cs="Arial"/>
      <w:b/>
      <w:bCs/>
      <w:sz w:val="22"/>
      <w:szCs w:val="22"/>
    </w:rPr>
  </w:style>
  <w:style w:type="character" w:styleId="693" w:customStyle="1">
    <w:name w:val="Heading 7 Char"/>
    <w:basedOn w:val="6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4" w:customStyle="1">
    <w:name w:val="Heading 8 Char"/>
    <w:basedOn w:val="684"/>
    <w:uiPriority w:val="9"/>
    <w:rPr>
      <w:rFonts w:ascii="Arial" w:hAnsi="Arial" w:eastAsia="Arial" w:cs="Arial"/>
      <w:i/>
      <w:iCs/>
      <w:sz w:val="22"/>
      <w:szCs w:val="22"/>
    </w:rPr>
  </w:style>
  <w:style w:type="character" w:styleId="695" w:customStyle="1">
    <w:name w:val="Heading 9 Char"/>
    <w:basedOn w:val="684"/>
    <w:uiPriority w:val="9"/>
    <w:rPr>
      <w:rFonts w:ascii="Arial" w:hAnsi="Arial" w:eastAsia="Arial" w:cs="Arial"/>
      <w:i/>
      <w:iCs/>
      <w:sz w:val="21"/>
      <w:szCs w:val="21"/>
    </w:rPr>
  </w:style>
  <w:style w:type="character" w:styleId="696" w:customStyle="1">
    <w:name w:val="Title Char"/>
    <w:basedOn w:val="684"/>
    <w:uiPriority w:val="10"/>
    <w:rPr>
      <w:sz w:val="48"/>
      <w:szCs w:val="48"/>
    </w:rPr>
  </w:style>
  <w:style w:type="character" w:styleId="697" w:customStyle="1">
    <w:name w:val="Subtitle Char"/>
    <w:basedOn w:val="684"/>
    <w:uiPriority w:val="11"/>
    <w:rPr>
      <w:sz w:val="24"/>
      <w:szCs w:val="24"/>
    </w:rPr>
  </w:style>
  <w:style w:type="character" w:styleId="698" w:customStyle="1">
    <w:name w:val="Quote Char"/>
    <w:uiPriority w:val="29"/>
    <w:rPr>
      <w:i/>
    </w:rPr>
  </w:style>
  <w:style w:type="character" w:styleId="699" w:customStyle="1">
    <w:name w:val="Intense Quote Char"/>
    <w:uiPriority w:val="30"/>
    <w:rPr>
      <w:i/>
    </w:rPr>
  </w:style>
  <w:style w:type="character" w:styleId="700" w:customStyle="1">
    <w:name w:val="Caption Char"/>
    <w:uiPriority w:val="99"/>
  </w:style>
  <w:style w:type="character" w:styleId="701" w:customStyle="1">
    <w:name w:val="Footnote Text Char"/>
    <w:uiPriority w:val="99"/>
    <w:rPr>
      <w:sz w:val="18"/>
    </w:rPr>
  </w:style>
  <w:style w:type="character" w:styleId="702" w:customStyle="1">
    <w:name w:val="Endnote Text Char"/>
    <w:uiPriority w:val="99"/>
    <w:rPr>
      <w:sz w:val="20"/>
    </w:rPr>
  </w:style>
  <w:style w:type="character" w:styleId="703" w:customStyle="1">
    <w:name w:val="Заголовок 1 Знак"/>
    <w:basedOn w:val="684"/>
    <w:link w:val="675"/>
    <w:uiPriority w:val="9"/>
    <w:rPr>
      <w:rFonts w:ascii="Arial" w:hAnsi="Arial" w:eastAsia="Arial" w:cs="Arial"/>
      <w:sz w:val="40"/>
      <w:szCs w:val="40"/>
    </w:rPr>
  </w:style>
  <w:style w:type="character" w:styleId="704" w:customStyle="1">
    <w:name w:val="Заголовок 2 Знак"/>
    <w:basedOn w:val="684"/>
    <w:link w:val="676"/>
    <w:uiPriority w:val="9"/>
    <w:rPr>
      <w:rFonts w:ascii="Arial" w:hAnsi="Arial" w:eastAsia="Arial" w:cs="Arial"/>
      <w:sz w:val="34"/>
    </w:rPr>
  </w:style>
  <w:style w:type="character" w:styleId="705" w:customStyle="1">
    <w:name w:val="Заголовок 3 Знак"/>
    <w:basedOn w:val="684"/>
    <w:link w:val="677"/>
    <w:uiPriority w:val="9"/>
    <w:rPr>
      <w:rFonts w:ascii="Arial" w:hAnsi="Arial" w:eastAsia="Arial" w:cs="Arial"/>
      <w:sz w:val="30"/>
      <w:szCs w:val="30"/>
    </w:rPr>
  </w:style>
  <w:style w:type="character" w:styleId="706" w:customStyle="1">
    <w:name w:val="Заголовок 4 Знак"/>
    <w:basedOn w:val="684"/>
    <w:link w:val="678"/>
    <w:uiPriority w:val="9"/>
    <w:rPr>
      <w:rFonts w:ascii="Arial" w:hAnsi="Arial" w:eastAsia="Arial" w:cs="Arial"/>
      <w:b/>
      <w:bCs/>
      <w:sz w:val="26"/>
      <w:szCs w:val="26"/>
    </w:rPr>
  </w:style>
  <w:style w:type="character" w:styleId="707" w:customStyle="1">
    <w:name w:val="Заголовок 5 Знак"/>
    <w:basedOn w:val="684"/>
    <w:link w:val="679"/>
    <w:uiPriority w:val="9"/>
    <w:rPr>
      <w:rFonts w:ascii="Arial" w:hAnsi="Arial" w:eastAsia="Arial" w:cs="Arial"/>
      <w:b/>
      <w:bCs/>
      <w:sz w:val="24"/>
      <w:szCs w:val="24"/>
    </w:rPr>
  </w:style>
  <w:style w:type="character" w:styleId="708" w:customStyle="1">
    <w:name w:val="Заголовок 6 Знак"/>
    <w:basedOn w:val="684"/>
    <w:link w:val="680"/>
    <w:uiPriority w:val="9"/>
    <w:rPr>
      <w:rFonts w:ascii="Arial" w:hAnsi="Arial" w:eastAsia="Arial" w:cs="Arial"/>
      <w:b/>
      <w:bCs/>
      <w:sz w:val="22"/>
      <w:szCs w:val="22"/>
    </w:rPr>
  </w:style>
  <w:style w:type="character" w:styleId="709" w:customStyle="1">
    <w:name w:val="Заголовок 7 Знак"/>
    <w:basedOn w:val="684"/>
    <w:link w:val="68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0" w:customStyle="1">
    <w:name w:val="Заголовок 8 Знак"/>
    <w:basedOn w:val="684"/>
    <w:link w:val="682"/>
    <w:uiPriority w:val="9"/>
    <w:rPr>
      <w:rFonts w:ascii="Arial" w:hAnsi="Arial" w:eastAsia="Arial" w:cs="Arial"/>
      <w:i/>
      <w:iCs/>
      <w:sz w:val="22"/>
      <w:szCs w:val="22"/>
    </w:rPr>
  </w:style>
  <w:style w:type="character" w:styleId="711" w:customStyle="1">
    <w:name w:val="Заголовок 9 Знак"/>
    <w:basedOn w:val="684"/>
    <w:link w:val="683"/>
    <w:uiPriority w:val="9"/>
    <w:rPr>
      <w:rFonts w:ascii="Arial" w:hAnsi="Arial" w:eastAsia="Arial" w:cs="Arial"/>
      <w:i/>
      <w:iCs/>
      <w:sz w:val="21"/>
      <w:szCs w:val="21"/>
    </w:rPr>
  </w:style>
  <w:style w:type="paragraph" w:styleId="712">
    <w:name w:val="List Paragraph"/>
    <w:basedOn w:val="674"/>
    <w:uiPriority w:val="34"/>
    <w:qFormat/>
    <w:pPr>
      <w:contextualSpacing/>
      <w:ind w:left="720"/>
    </w:pPr>
  </w:style>
  <w:style w:type="paragraph" w:styleId="713">
    <w:name w:val="No Spacing"/>
    <w:uiPriority w:val="1"/>
    <w:qFormat/>
  </w:style>
  <w:style w:type="character" w:styleId="714" w:customStyle="1">
    <w:name w:val="Название Знак"/>
    <w:basedOn w:val="684"/>
    <w:link w:val="883"/>
    <w:uiPriority w:val="10"/>
    <w:rPr>
      <w:sz w:val="48"/>
      <w:szCs w:val="48"/>
    </w:rPr>
  </w:style>
  <w:style w:type="paragraph" w:styleId="715">
    <w:name w:val="Subtitle"/>
    <w:basedOn w:val="674"/>
    <w:next w:val="674"/>
    <w:link w:val="716"/>
    <w:uiPriority w:val="11"/>
    <w:qFormat/>
    <w:pPr>
      <w:spacing w:before="200" w:after="200"/>
    </w:pPr>
    <w:rPr>
      <w:sz w:val="24"/>
      <w:szCs w:val="24"/>
    </w:rPr>
  </w:style>
  <w:style w:type="character" w:styleId="716" w:customStyle="1">
    <w:name w:val="Подзаголовок Знак"/>
    <w:basedOn w:val="684"/>
    <w:link w:val="715"/>
    <w:uiPriority w:val="11"/>
    <w:rPr>
      <w:sz w:val="24"/>
      <w:szCs w:val="24"/>
    </w:rPr>
  </w:style>
  <w:style w:type="paragraph" w:styleId="717">
    <w:name w:val="Quote"/>
    <w:basedOn w:val="674"/>
    <w:next w:val="674"/>
    <w:link w:val="718"/>
    <w:uiPriority w:val="29"/>
    <w:qFormat/>
    <w:pPr>
      <w:ind w:left="720" w:right="720"/>
    </w:pPr>
    <w:rPr>
      <w:i/>
    </w:rPr>
  </w:style>
  <w:style w:type="character" w:styleId="718" w:customStyle="1">
    <w:name w:val="Цитата 2 Знак"/>
    <w:link w:val="717"/>
    <w:uiPriority w:val="29"/>
    <w:rPr>
      <w:i/>
    </w:rPr>
  </w:style>
  <w:style w:type="paragraph" w:styleId="719">
    <w:name w:val="Intense Quote"/>
    <w:basedOn w:val="674"/>
    <w:next w:val="674"/>
    <w:link w:val="72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0" w:customStyle="1">
    <w:name w:val="Выделенная цитата Знак"/>
    <w:link w:val="719"/>
    <w:uiPriority w:val="30"/>
    <w:rPr>
      <w:i/>
    </w:rPr>
  </w:style>
  <w:style w:type="character" w:styleId="721" w:customStyle="1">
    <w:name w:val="Header Char"/>
    <w:basedOn w:val="684"/>
    <w:uiPriority w:val="99"/>
  </w:style>
  <w:style w:type="character" w:styleId="722" w:customStyle="1">
    <w:name w:val="Footer Char"/>
    <w:basedOn w:val="684"/>
    <w:uiPriority w:val="99"/>
  </w:style>
  <w:style w:type="paragraph" w:styleId="723">
    <w:name w:val="Caption"/>
    <w:basedOn w:val="674"/>
    <w:next w:val="67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4" w:customStyle="1">
    <w:name w:val="Нижний колонтитул Знак"/>
    <w:link w:val="880"/>
    <w:uiPriority w:val="99"/>
  </w:style>
  <w:style w:type="table" w:styleId="725" w:customStyle="1">
    <w:name w:val="Table Grid Light"/>
    <w:basedOn w:val="685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6" w:customStyle="1">
    <w:name w:val="Plain Table 1"/>
    <w:basedOn w:val="685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auto"/>
      </w:tcPr>
    </w:tblStylePr>
    <w:tblStylePr w:type="band1Vert">
      <w:tcPr>
        <w:shd w:val="clear" w:color="f2f2f2" w:themeColor="text1" w:themeTint="0D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 w:customStyle="1">
    <w:name w:val="Plain Table 2"/>
    <w:basedOn w:val="685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8" w:customStyle="1">
    <w:name w:val="Plain Table 3"/>
    <w:basedOn w:val="6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9" w:customStyle="1">
    <w:name w:val="Plain Table 4"/>
    <w:basedOn w:val="6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Plain Table 5"/>
    <w:basedOn w:val="6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1 Light"/>
    <w:basedOn w:val="685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1"/>
    <w:basedOn w:val="685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2"/>
    <w:basedOn w:val="685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3"/>
    <w:basedOn w:val="685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4"/>
    <w:basedOn w:val="685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5"/>
    <w:basedOn w:val="68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6"/>
    <w:basedOn w:val="685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2"/>
    <w:basedOn w:val="68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1"/>
    <w:basedOn w:val="685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2"/>
    <w:basedOn w:val="68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3"/>
    <w:basedOn w:val="68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4"/>
    <w:basedOn w:val="68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5"/>
    <w:basedOn w:val="68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6"/>
    <w:basedOn w:val="685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"/>
    <w:basedOn w:val="68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1"/>
    <w:basedOn w:val="685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2"/>
    <w:basedOn w:val="68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3"/>
    <w:basedOn w:val="68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4"/>
    <w:basedOn w:val="68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5"/>
    <w:basedOn w:val="68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6"/>
    <w:basedOn w:val="685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4"/>
    <w:basedOn w:val="685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3" w:customStyle="1">
    <w:name w:val="Grid Table 4 - Accent 1"/>
    <w:basedOn w:val="685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auto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4" w:customStyle="1">
    <w:name w:val="Grid Table 4 - Accent 2"/>
    <w:basedOn w:val="685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auto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55" w:customStyle="1">
    <w:name w:val="Grid Table 4 - Accent 3"/>
    <w:basedOn w:val="685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auto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6" w:customStyle="1">
    <w:name w:val="Grid Table 4 - Accent 4"/>
    <w:basedOn w:val="685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auto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7" w:customStyle="1">
    <w:name w:val="Grid Table 4 - Accent 5"/>
    <w:basedOn w:val="68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auto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58" w:customStyle="1">
    <w:name w:val="Grid Table 4 - Accent 6"/>
    <w:basedOn w:val="685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auto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9" w:customStyle="1">
    <w:name w:val="Grid Table 5 Dark"/>
    <w:basedOn w:val="68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auto"/>
      </w:tcPr>
    </w:tblStylePr>
    <w:tblStylePr w:type="band1Vert">
      <w:tcPr>
        <w:shd w:val="clear" w:color="8a8a8a" w:themeColor="text1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auto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- Accent 1"/>
    <w:basedOn w:val="68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uto"/>
      </w:tcPr>
    </w:tblStylePr>
    <w:tblStylePr w:type="band1Vert">
      <w:tcPr>
        <w:shd w:val="clear" w:color="aec4e0" w:themeColor="accent1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auto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 - Accent 2"/>
    <w:basedOn w:val="68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auto"/>
      </w:tcPr>
    </w:tblStylePr>
    <w:tblStylePr w:type="band1Vert">
      <w:tcPr>
        <w:shd w:val="clear" w:color="e2aead" w:themeColor="accent2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auto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 - Accent 3"/>
    <w:basedOn w:val="68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auto"/>
      </w:tcPr>
    </w:tblStylePr>
    <w:tblStylePr w:type="band1Vert">
      <w:tcPr>
        <w:shd w:val="clear" w:color="d0dfb2" w:themeColor="accent3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auto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- Accent 4"/>
    <w:basedOn w:val="68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auto"/>
      </w:tcPr>
    </w:tblStylePr>
    <w:tblStylePr w:type="band1Vert">
      <w:tcPr>
        <w:shd w:val="clear" w:color="c4b7d4" w:themeColor="accent4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auto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 - Accent 5"/>
    <w:basedOn w:val="68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uto"/>
      </w:tcPr>
    </w:tblStylePr>
    <w:tblStylePr w:type="band1Vert">
      <w:tcPr>
        <w:shd w:val="clear" w:color="acd8e4" w:themeColor="accent5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auto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 - Accent 6"/>
    <w:basedOn w:val="68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auto"/>
      </w:tcPr>
    </w:tblStylePr>
    <w:tblStylePr w:type="band1Vert">
      <w:tcPr>
        <w:shd w:val="clear" w:color="fbceaa" w:themeColor="accent6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auto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6 Colorful"/>
    <w:basedOn w:val="68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auto"/>
      </w:tcPr>
    </w:tblStylePr>
    <w:tblStylePr w:type="band1Vert"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7" w:customStyle="1">
    <w:name w:val="Grid Table 6 Colorful - Accent 1"/>
    <w:basedOn w:val="685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auto"/>
      </w:tcPr>
    </w:tblStylePr>
    <w:tblStylePr w:type="band1Vert"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8" w:customStyle="1">
    <w:name w:val="Grid Table 6 Colorful - Accent 2"/>
    <w:basedOn w:val="68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auto"/>
      </w:tcPr>
    </w:tblStylePr>
    <w:tblStylePr w:type="band1Vert"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9" w:customStyle="1">
    <w:name w:val="Grid Table 6 Colorful - Accent 3"/>
    <w:basedOn w:val="685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auto"/>
      </w:tcPr>
    </w:tblStylePr>
    <w:tblStylePr w:type="band1Vert"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70" w:customStyle="1">
    <w:name w:val="Grid Table 6 Colorful - Accent 4"/>
    <w:basedOn w:val="68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auto"/>
      </w:tcPr>
    </w:tblStylePr>
    <w:tblStylePr w:type="band1Vert"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71" w:customStyle="1">
    <w:name w:val="Grid Table 6 Colorful - Accent 5"/>
    <w:basedOn w:val="68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auto"/>
      </w:tcPr>
    </w:tblStylePr>
    <w:tblStylePr w:type="band1Vert"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2" w:customStyle="1">
    <w:name w:val="Grid Table 6 Colorful - Accent 6"/>
    <w:basedOn w:val="685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auto"/>
      </w:tcPr>
    </w:tblStylePr>
    <w:tblStylePr w:type="band1Vert"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3" w:customStyle="1">
    <w:name w:val="Grid Table 7 Colorful"/>
    <w:basedOn w:val="685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auto"/>
      </w:tcPr>
    </w:tblStylePr>
    <w:tblStylePr w:type="band1Vert"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7 Colorful - Accent 1"/>
    <w:basedOn w:val="685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auto"/>
      </w:tcPr>
    </w:tblStylePr>
    <w:tblStylePr w:type="band1Vert"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auto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7 Colorful - Accent 2"/>
    <w:basedOn w:val="68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auto"/>
      </w:tcPr>
    </w:tblStylePr>
    <w:tblStylePr w:type="band1Vert"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7 Colorful - Accent 3"/>
    <w:basedOn w:val="68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auto"/>
      </w:tcPr>
    </w:tblStylePr>
    <w:tblStylePr w:type="band1Vert"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7 Colorful - Accent 4"/>
    <w:basedOn w:val="68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auto"/>
      </w:tcPr>
    </w:tblStylePr>
    <w:tblStylePr w:type="band1Vert"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7 Colorful - Accent 5"/>
    <w:basedOn w:val="68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auto"/>
      </w:tcPr>
    </w:tblStylePr>
    <w:tblStylePr w:type="band1Vert"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auto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7 Colorful - Accent 6"/>
    <w:basedOn w:val="685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auto"/>
      </w:tcPr>
    </w:tblStylePr>
    <w:tblStylePr w:type="band1Vert"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auto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"/>
    <w:basedOn w:val="6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1"/>
    <w:basedOn w:val="6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auto"/>
      </w:tcPr>
    </w:tblStylePr>
    <w:tblStylePr w:type="band1Vert">
      <w:tcPr>
        <w:shd w:val="clear" w:color="d2dfee" w:themeColor="accent1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2"/>
    <w:basedOn w:val="6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auto"/>
      </w:tcPr>
    </w:tblStylePr>
    <w:tblStylePr w:type="band1Vert">
      <w:tcPr>
        <w:shd w:val="clear" w:color="efd2d2" w:themeColor="accent2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3"/>
    <w:basedOn w:val="6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auto"/>
      </w:tcPr>
    </w:tblStylePr>
    <w:tblStylePr w:type="band1Vert">
      <w:tcPr>
        <w:shd w:val="clear" w:color="e5eed5" w:themeColor="accent3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4"/>
    <w:basedOn w:val="6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auto"/>
      </w:tcPr>
    </w:tblStylePr>
    <w:tblStylePr w:type="band1Vert">
      <w:tcPr>
        <w:shd w:val="clear" w:color="dfd8e7" w:themeColor="accent4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5"/>
    <w:basedOn w:val="6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auto"/>
      </w:tcPr>
    </w:tblStylePr>
    <w:tblStylePr w:type="band1Vert">
      <w:tcPr>
        <w:shd w:val="clear" w:color="d1eaf0" w:themeColor="accent5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6"/>
    <w:basedOn w:val="6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auto"/>
      </w:tcPr>
    </w:tblStylePr>
    <w:tblStylePr w:type="band1Vert">
      <w:tcPr>
        <w:shd w:val="clear" w:color="fde4d0" w:themeColor="accent6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2"/>
    <w:basedOn w:val="685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1"/>
    <w:basedOn w:val="685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2"/>
    <w:basedOn w:val="685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3"/>
    <w:basedOn w:val="685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4"/>
    <w:basedOn w:val="685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5"/>
    <w:basedOn w:val="68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6"/>
    <w:basedOn w:val="685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4" w:customStyle="1">
    <w:name w:val="List Table 3"/>
    <w:basedOn w:val="68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1"/>
    <w:basedOn w:val="685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2"/>
    <w:basedOn w:val="68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3"/>
    <w:basedOn w:val="68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4"/>
    <w:basedOn w:val="68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5"/>
    <w:basedOn w:val="68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6"/>
    <w:basedOn w:val="68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"/>
    <w:basedOn w:val="68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1"/>
    <w:basedOn w:val="685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2"/>
    <w:basedOn w:val="685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3"/>
    <w:basedOn w:val="685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4"/>
    <w:basedOn w:val="685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5"/>
    <w:basedOn w:val="68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6"/>
    <w:basedOn w:val="685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5 Dark"/>
    <w:basedOn w:val="68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auto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1"/>
    <w:basedOn w:val="685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auto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2"/>
    <w:basedOn w:val="68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auto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3"/>
    <w:basedOn w:val="68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auto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4"/>
    <w:basedOn w:val="68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auto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5"/>
    <w:basedOn w:val="68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auto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6"/>
    <w:basedOn w:val="68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auto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6 Colorful"/>
    <w:basedOn w:val="68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6" w:customStyle="1">
    <w:name w:val="List Table 6 Colorful - Accent 1"/>
    <w:basedOn w:val="685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auto"/>
      </w:tcPr>
    </w:tblStylePr>
    <w:tblStylePr w:type="band1Vert"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7" w:customStyle="1">
    <w:name w:val="List Table 6 Colorful - Accent 2"/>
    <w:basedOn w:val="68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auto"/>
      </w:tcPr>
    </w:tblStylePr>
    <w:tblStylePr w:type="band1Vert"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18" w:customStyle="1">
    <w:name w:val="List Table 6 Colorful - Accent 3"/>
    <w:basedOn w:val="68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auto"/>
      </w:tcPr>
    </w:tblStylePr>
    <w:tblStylePr w:type="band1Vert"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9" w:customStyle="1">
    <w:name w:val="List Table 6 Colorful - Accent 4"/>
    <w:basedOn w:val="68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auto"/>
      </w:tcPr>
    </w:tblStylePr>
    <w:tblStylePr w:type="band1Vert"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20" w:customStyle="1">
    <w:name w:val="List Table 6 Colorful - Accent 5"/>
    <w:basedOn w:val="68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auto"/>
      </w:tcPr>
    </w:tblStylePr>
    <w:tblStylePr w:type="band1Vert"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21" w:customStyle="1">
    <w:name w:val="List Table 6 Colorful - Accent 6"/>
    <w:basedOn w:val="68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auto"/>
      </w:tcPr>
    </w:tblStylePr>
    <w:tblStylePr w:type="band1Vert"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2" w:customStyle="1">
    <w:name w:val="List Table 7 Colorful"/>
    <w:basedOn w:val="685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7 Colorful - Accent 1"/>
    <w:basedOn w:val="685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auto"/>
      </w:tcPr>
    </w:tblStylePr>
    <w:tblStylePr w:type="band1Vert"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auto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7 Colorful - Accent 2"/>
    <w:basedOn w:val="685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auto"/>
      </w:tcPr>
    </w:tblStylePr>
    <w:tblStylePr w:type="band1Vert"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7 Colorful - Accent 3"/>
    <w:basedOn w:val="685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auto"/>
      </w:tcPr>
    </w:tblStylePr>
    <w:tblStylePr w:type="band1Vert"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auto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7 Colorful - Accent 4"/>
    <w:basedOn w:val="685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auto"/>
      </w:tcPr>
    </w:tblStylePr>
    <w:tblStylePr w:type="band1Vert"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7 Colorful - Accent 5"/>
    <w:basedOn w:val="68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auto"/>
      </w:tcPr>
    </w:tblStylePr>
    <w:tblStylePr w:type="band1Vert"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auto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7 Colorful - Accent 6"/>
    <w:basedOn w:val="685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auto"/>
      </w:tcPr>
    </w:tblStylePr>
    <w:tblStylePr w:type="band1Vert"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auto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auto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ned - Accent"/>
    <w:basedOn w:val="68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</w:style>
  <w:style w:type="table" w:styleId="830" w:customStyle="1">
    <w:name w:val="Lined - Accent 1"/>
    <w:basedOn w:val="68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</w:style>
  <w:style w:type="table" w:styleId="831" w:customStyle="1">
    <w:name w:val="Lined - Accent 2"/>
    <w:basedOn w:val="68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</w:style>
  <w:style w:type="table" w:styleId="832" w:customStyle="1">
    <w:name w:val="Lined - Accent 3"/>
    <w:basedOn w:val="68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</w:style>
  <w:style w:type="table" w:styleId="833" w:customStyle="1">
    <w:name w:val="Lined - Accent 4"/>
    <w:basedOn w:val="68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</w:style>
  <w:style w:type="table" w:styleId="834" w:customStyle="1">
    <w:name w:val="Lined - Accent 5"/>
    <w:basedOn w:val="68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</w:style>
  <w:style w:type="table" w:styleId="835" w:customStyle="1">
    <w:name w:val="Lined - Accent 6"/>
    <w:basedOn w:val="68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</w:style>
  <w:style w:type="table" w:styleId="836" w:customStyle="1">
    <w:name w:val="Bordered &amp; Lined - Accent"/>
    <w:basedOn w:val="68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</w:style>
  <w:style w:type="table" w:styleId="837" w:customStyle="1">
    <w:name w:val="Bordered &amp; Lined - Accent 1"/>
    <w:basedOn w:val="68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</w:style>
  <w:style w:type="table" w:styleId="838" w:customStyle="1">
    <w:name w:val="Bordered &amp; Lined - Accent 2"/>
    <w:basedOn w:val="68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</w:style>
  <w:style w:type="table" w:styleId="839" w:customStyle="1">
    <w:name w:val="Bordered &amp; Lined - Accent 3"/>
    <w:basedOn w:val="68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</w:style>
  <w:style w:type="table" w:styleId="840" w:customStyle="1">
    <w:name w:val="Bordered &amp; Lined - Accent 4"/>
    <w:basedOn w:val="68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</w:style>
  <w:style w:type="table" w:styleId="841" w:customStyle="1">
    <w:name w:val="Bordered &amp; Lined - Accent 5"/>
    <w:basedOn w:val="68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</w:style>
  <w:style w:type="table" w:styleId="842" w:customStyle="1">
    <w:name w:val="Bordered &amp; Lined - Accent 6"/>
    <w:basedOn w:val="68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</w:style>
  <w:style w:type="table" w:styleId="843" w:customStyle="1">
    <w:name w:val="Bordered"/>
    <w:basedOn w:val="685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4" w:customStyle="1">
    <w:name w:val="Bordered - Accent 1"/>
    <w:basedOn w:val="685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5" w:customStyle="1">
    <w:name w:val="Bordered - Accent 2"/>
    <w:basedOn w:val="685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6" w:customStyle="1">
    <w:name w:val="Bordered - Accent 3"/>
    <w:basedOn w:val="685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7" w:customStyle="1">
    <w:name w:val="Bordered - Accent 4"/>
    <w:basedOn w:val="685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48" w:customStyle="1">
    <w:name w:val="Bordered - Accent 5"/>
    <w:basedOn w:val="68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9" w:customStyle="1">
    <w:name w:val="Bordered - Accent 6"/>
    <w:basedOn w:val="685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50">
    <w:name w:val="footnote text"/>
    <w:basedOn w:val="674"/>
    <w:link w:val="851"/>
    <w:uiPriority w:val="99"/>
    <w:semiHidden/>
    <w:unhideWhenUsed/>
    <w:pPr>
      <w:spacing w:after="40"/>
    </w:pPr>
    <w:rPr>
      <w:sz w:val="18"/>
    </w:rPr>
  </w:style>
  <w:style w:type="character" w:styleId="851" w:customStyle="1">
    <w:name w:val="Текст сноски Знак"/>
    <w:link w:val="850"/>
    <w:uiPriority w:val="99"/>
    <w:rPr>
      <w:sz w:val="18"/>
    </w:rPr>
  </w:style>
  <w:style w:type="character" w:styleId="852">
    <w:name w:val="footnote reference"/>
    <w:basedOn w:val="684"/>
    <w:uiPriority w:val="99"/>
    <w:unhideWhenUsed/>
    <w:rPr>
      <w:vertAlign w:val="superscript"/>
    </w:rPr>
  </w:style>
  <w:style w:type="paragraph" w:styleId="853">
    <w:name w:val="endnote text"/>
    <w:basedOn w:val="674"/>
    <w:link w:val="854"/>
    <w:uiPriority w:val="99"/>
    <w:semiHidden/>
    <w:unhideWhenUsed/>
    <w:rPr>
      <w:sz w:val="20"/>
    </w:rPr>
  </w:style>
  <w:style w:type="character" w:styleId="854" w:customStyle="1">
    <w:name w:val="Текст концевой сноски Знак"/>
    <w:link w:val="853"/>
    <w:uiPriority w:val="99"/>
    <w:rPr>
      <w:sz w:val="20"/>
    </w:rPr>
  </w:style>
  <w:style w:type="character" w:styleId="855">
    <w:name w:val="endnote reference"/>
    <w:basedOn w:val="684"/>
    <w:uiPriority w:val="99"/>
    <w:semiHidden/>
    <w:unhideWhenUsed/>
    <w:rPr>
      <w:vertAlign w:val="superscript"/>
    </w:rPr>
  </w:style>
  <w:style w:type="paragraph" w:styleId="856">
    <w:name w:val="toc 1"/>
    <w:basedOn w:val="674"/>
    <w:next w:val="674"/>
    <w:uiPriority w:val="39"/>
    <w:unhideWhenUsed/>
    <w:pPr>
      <w:spacing w:after="57"/>
    </w:pPr>
  </w:style>
  <w:style w:type="paragraph" w:styleId="857">
    <w:name w:val="toc 2"/>
    <w:basedOn w:val="674"/>
    <w:next w:val="674"/>
    <w:uiPriority w:val="39"/>
    <w:unhideWhenUsed/>
    <w:pPr>
      <w:ind w:left="283"/>
      <w:spacing w:after="57"/>
    </w:pPr>
  </w:style>
  <w:style w:type="paragraph" w:styleId="858">
    <w:name w:val="toc 3"/>
    <w:basedOn w:val="674"/>
    <w:next w:val="674"/>
    <w:uiPriority w:val="39"/>
    <w:unhideWhenUsed/>
    <w:pPr>
      <w:ind w:left="567"/>
      <w:spacing w:after="57"/>
    </w:pPr>
  </w:style>
  <w:style w:type="paragraph" w:styleId="859">
    <w:name w:val="toc 4"/>
    <w:basedOn w:val="674"/>
    <w:next w:val="674"/>
    <w:uiPriority w:val="39"/>
    <w:unhideWhenUsed/>
    <w:pPr>
      <w:ind w:left="850"/>
      <w:spacing w:after="57"/>
    </w:pPr>
  </w:style>
  <w:style w:type="paragraph" w:styleId="860">
    <w:name w:val="toc 5"/>
    <w:basedOn w:val="674"/>
    <w:next w:val="674"/>
    <w:uiPriority w:val="39"/>
    <w:unhideWhenUsed/>
    <w:pPr>
      <w:ind w:left="1134"/>
      <w:spacing w:after="57"/>
    </w:pPr>
  </w:style>
  <w:style w:type="paragraph" w:styleId="861">
    <w:name w:val="toc 6"/>
    <w:basedOn w:val="674"/>
    <w:next w:val="674"/>
    <w:uiPriority w:val="39"/>
    <w:unhideWhenUsed/>
    <w:pPr>
      <w:ind w:left="1417"/>
      <w:spacing w:after="57"/>
    </w:pPr>
  </w:style>
  <w:style w:type="paragraph" w:styleId="862">
    <w:name w:val="toc 7"/>
    <w:basedOn w:val="674"/>
    <w:next w:val="674"/>
    <w:uiPriority w:val="39"/>
    <w:unhideWhenUsed/>
    <w:pPr>
      <w:ind w:left="1701"/>
      <w:spacing w:after="57"/>
    </w:pPr>
  </w:style>
  <w:style w:type="paragraph" w:styleId="863">
    <w:name w:val="toc 8"/>
    <w:basedOn w:val="674"/>
    <w:next w:val="674"/>
    <w:uiPriority w:val="39"/>
    <w:unhideWhenUsed/>
    <w:pPr>
      <w:ind w:left="1984"/>
      <w:spacing w:after="57"/>
    </w:pPr>
  </w:style>
  <w:style w:type="paragraph" w:styleId="864">
    <w:name w:val="toc 9"/>
    <w:basedOn w:val="674"/>
    <w:next w:val="674"/>
    <w:uiPriority w:val="39"/>
    <w:unhideWhenUsed/>
    <w:pPr>
      <w:ind w:left="2268"/>
      <w:spacing w:after="57"/>
    </w:pPr>
  </w:style>
  <w:style w:type="paragraph" w:styleId="865">
    <w:name w:val="TOC Heading"/>
    <w:uiPriority w:val="39"/>
    <w:unhideWhenUsed/>
  </w:style>
  <w:style w:type="paragraph" w:styleId="866">
    <w:name w:val="table of figures"/>
    <w:basedOn w:val="674"/>
    <w:next w:val="674"/>
    <w:uiPriority w:val="99"/>
    <w:unhideWhenUsed/>
  </w:style>
  <w:style w:type="paragraph" w:styleId="867" w:customStyle="1">
    <w:name w:val="заголовок 1"/>
    <w:basedOn w:val="674"/>
    <w:next w:val="874"/>
    <w:pPr>
      <w:jc w:val="center"/>
      <w:keepLines/>
      <w:keepNext/>
      <w:spacing w:before="480"/>
    </w:pPr>
    <w:rPr>
      <w:rFonts w:ascii="Arial" w:hAnsi="Arial"/>
      <w:b/>
      <w:caps/>
      <w:sz w:val="32"/>
    </w:rPr>
  </w:style>
  <w:style w:type="paragraph" w:styleId="868" w:customStyle="1">
    <w:name w:val="заголовок 2"/>
    <w:basedOn w:val="674"/>
    <w:next w:val="878"/>
    <w:pPr>
      <w:jc w:val="center"/>
      <w:keepLines/>
      <w:keepNext/>
      <w:spacing w:before="480"/>
    </w:pPr>
    <w:rPr>
      <w:rFonts w:ascii="Arial" w:hAnsi="Arial"/>
      <w:b/>
      <w:caps/>
      <w:sz w:val="28"/>
    </w:rPr>
  </w:style>
  <w:style w:type="paragraph" w:styleId="869" w:customStyle="1">
    <w:name w:val="заголовок 3"/>
    <w:basedOn w:val="674"/>
    <w:next w:val="674"/>
    <w:pPr>
      <w:ind w:firstLine="709"/>
      <w:jc w:val="both"/>
      <w:keepNext/>
      <w:spacing w:before="240" w:after="60" w:line="348" w:lineRule="auto"/>
    </w:pPr>
    <w:rPr>
      <w:rFonts w:ascii="Arial" w:hAnsi="Arial"/>
      <w:sz w:val="24"/>
    </w:rPr>
  </w:style>
  <w:style w:type="paragraph" w:styleId="870" w:customStyle="1">
    <w:name w:val="заголовок 4"/>
    <w:basedOn w:val="674"/>
    <w:next w:val="674"/>
    <w:pPr>
      <w:jc w:val="both"/>
      <w:keepNext/>
      <w:outlineLvl w:val="3"/>
    </w:pPr>
    <w:rPr>
      <w:b/>
      <w:sz w:val="28"/>
    </w:rPr>
  </w:style>
  <w:style w:type="character" w:styleId="871" w:customStyle="1">
    <w:name w:val="Основной шрифт"/>
  </w:style>
  <w:style w:type="paragraph" w:styleId="872" w:customStyle="1">
    <w:name w:val="текст сноски"/>
    <w:basedOn w:val="674"/>
    <w:pPr>
      <w:ind w:left="142" w:hanging="142"/>
      <w:jc w:val="both"/>
      <w:keepLines/>
      <w:spacing w:line="288" w:lineRule="auto"/>
    </w:pPr>
    <w:rPr>
      <w:sz w:val="28"/>
    </w:rPr>
  </w:style>
  <w:style w:type="paragraph" w:styleId="873" w:customStyle="1">
    <w:name w:val="Должность"/>
    <w:basedOn w:val="674"/>
    <w:next w:val="875"/>
    <w:pPr>
      <w:keepLines/>
      <w:keepNext/>
      <w:spacing w:before="180"/>
      <w:tabs>
        <w:tab w:val="left" w:pos="284" w:leader="none"/>
      </w:tabs>
    </w:pPr>
    <w:rPr>
      <w:rFonts w:ascii="Arial" w:hAnsi="Arial"/>
      <w:spacing w:val="-4"/>
      <w:sz w:val="24"/>
    </w:rPr>
  </w:style>
  <w:style w:type="paragraph" w:styleId="874" w:customStyle="1">
    <w:name w:val="Код"/>
    <w:basedOn w:val="867"/>
    <w:next w:val="868"/>
    <w:pPr>
      <w:spacing w:before="0"/>
    </w:pPr>
    <w:rPr>
      <w:caps w:val="0"/>
      <w:spacing w:val="10"/>
      <w:sz w:val="28"/>
    </w:rPr>
  </w:style>
  <w:style w:type="paragraph" w:styleId="875" w:customStyle="1">
    <w:name w:val="ФИО"/>
    <w:basedOn w:val="674"/>
    <w:next w:val="873"/>
    <w:pPr>
      <w:keepLines/>
      <w:tabs>
        <w:tab w:val="left" w:pos="284" w:leader="none"/>
        <w:tab w:val="left" w:pos="5670" w:leader="none"/>
        <w:tab w:val="left" w:pos="7513" w:leader="none"/>
      </w:tabs>
    </w:pPr>
    <w:rPr>
      <w:rFonts w:ascii="Arial" w:hAnsi="Arial"/>
      <w:sz w:val="24"/>
    </w:rPr>
  </w:style>
  <w:style w:type="paragraph" w:styleId="876" w:customStyle="1">
    <w:name w:val="оглл"/>
    <w:basedOn w:val="877"/>
    <w:pPr>
      <w:jc w:val="center"/>
      <w:spacing w:after="120"/>
    </w:pPr>
    <w:rPr>
      <w:rFonts w:ascii="Times New Roman" w:hAnsi="Times New Roman"/>
      <w:caps/>
      <w:spacing w:val="30"/>
      <w:sz w:val="36"/>
    </w:rPr>
  </w:style>
  <w:style w:type="paragraph" w:styleId="877" w:customStyle="1">
    <w:name w:val="оглавление 1"/>
    <w:basedOn w:val="674"/>
    <w:next w:val="674"/>
    <w:pPr>
      <w:jc w:val="both"/>
      <w:spacing w:line="264" w:lineRule="auto"/>
      <w:tabs>
        <w:tab w:val="right" w:pos="9355" w:leader="dot"/>
      </w:tabs>
    </w:pPr>
    <w:rPr>
      <w:rFonts w:ascii="Arial" w:hAnsi="Arial"/>
      <w:b/>
      <w:sz w:val="28"/>
    </w:rPr>
  </w:style>
  <w:style w:type="paragraph" w:styleId="878" w:customStyle="1">
    <w:name w:val="Поселки"/>
    <w:basedOn w:val="869"/>
    <w:next w:val="873"/>
    <w:pPr>
      <w:ind w:firstLine="0"/>
      <w:jc w:val="center"/>
      <w:spacing w:before="0" w:after="120" w:line="240" w:lineRule="auto"/>
    </w:pPr>
    <w:rPr>
      <w:sz w:val="20"/>
    </w:rPr>
  </w:style>
  <w:style w:type="paragraph" w:styleId="879">
    <w:name w:val="Header"/>
    <w:basedOn w:val="674"/>
    <w:link w:val="900"/>
    <w:uiPriority w:val="99"/>
    <w:pPr>
      <w:ind w:firstLine="709"/>
      <w:jc w:val="both"/>
      <w:spacing w:line="348" w:lineRule="auto"/>
      <w:tabs>
        <w:tab w:val="center" w:pos="4153" w:leader="none"/>
        <w:tab w:val="right" w:pos="8306" w:leader="none"/>
      </w:tabs>
    </w:pPr>
    <w:rPr>
      <w:sz w:val="28"/>
    </w:rPr>
  </w:style>
  <w:style w:type="paragraph" w:styleId="880">
    <w:name w:val="Footer"/>
    <w:basedOn w:val="674"/>
    <w:link w:val="724"/>
    <w:pPr>
      <w:ind w:firstLine="709"/>
      <w:jc w:val="both"/>
      <w:spacing w:line="348" w:lineRule="auto"/>
      <w:tabs>
        <w:tab w:val="center" w:pos="4153" w:leader="none"/>
        <w:tab w:val="right" w:pos="8306" w:leader="none"/>
      </w:tabs>
    </w:pPr>
    <w:rPr>
      <w:sz w:val="28"/>
    </w:rPr>
  </w:style>
  <w:style w:type="paragraph" w:styleId="881" w:customStyle="1">
    <w:name w:val="Heading"/>
    <w:rPr>
      <w:b/>
      <w:sz w:val="24"/>
    </w:rPr>
  </w:style>
  <w:style w:type="paragraph" w:styleId="882" w:customStyle="1">
    <w:name w:val="Preformat"/>
    <w:rPr>
      <w:rFonts w:ascii="Courier New" w:hAnsi="Courier New"/>
    </w:rPr>
  </w:style>
  <w:style w:type="paragraph" w:styleId="883">
    <w:name w:val="Title"/>
    <w:basedOn w:val="674"/>
    <w:link w:val="714"/>
    <w:qFormat/>
    <w:pPr>
      <w:ind w:firstLine="142"/>
      <w:jc w:val="center"/>
    </w:pPr>
    <w:rPr>
      <w:b/>
      <w:sz w:val="28"/>
    </w:rPr>
  </w:style>
  <w:style w:type="paragraph" w:styleId="884">
    <w:name w:val="Body Text Indent"/>
    <w:basedOn w:val="674"/>
    <w:pPr>
      <w:ind w:firstLine="5670"/>
    </w:pPr>
    <w:rPr>
      <w:b/>
    </w:rPr>
  </w:style>
  <w:style w:type="paragraph" w:styleId="885">
    <w:name w:val="List"/>
    <w:basedOn w:val="674"/>
    <w:rPr>
      <w:rFonts w:ascii="Arial" w:hAnsi="Arial"/>
      <w:i/>
      <w:sz w:val="20"/>
    </w:rPr>
  </w:style>
  <w:style w:type="paragraph" w:styleId="886">
    <w:name w:val="Body Text"/>
    <w:basedOn w:val="674"/>
    <w:pPr>
      <w:jc w:val="both"/>
    </w:pPr>
  </w:style>
  <w:style w:type="paragraph" w:styleId="887" w:customStyle="1">
    <w:name w:val="Nonformat"/>
    <w:basedOn w:val="674"/>
    <w:rPr>
      <w:rFonts w:ascii="Consultant" w:hAnsi="Consultant"/>
      <w:sz w:val="20"/>
    </w:rPr>
  </w:style>
  <w:style w:type="character" w:styleId="888">
    <w:name w:val="page number"/>
    <w:basedOn w:val="684"/>
  </w:style>
  <w:style w:type="table" w:styleId="889">
    <w:name w:val="Table Grid"/>
    <w:basedOn w:val="685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90">
    <w:name w:val="Body Text 2"/>
    <w:basedOn w:val="674"/>
    <w:pPr>
      <w:jc w:val="center"/>
      <w:spacing w:line="348" w:lineRule="auto"/>
    </w:pPr>
    <w:rPr>
      <w:sz w:val="24"/>
    </w:rPr>
  </w:style>
  <w:style w:type="paragraph" w:styleId="891">
    <w:name w:val="Balloon Text"/>
    <w:basedOn w:val="674"/>
    <w:semiHidden/>
    <w:rPr>
      <w:rFonts w:ascii="Tahoma" w:hAnsi="Tahoma" w:cs="Tahoma"/>
      <w:sz w:val="16"/>
      <w:szCs w:val="16"/>
    </w:rPr>
  </w:style>
  <w:style w:type="paragraph" w:styleId="892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893">
    <w:name w:val="Body Text Indent 2"/>
    <w:basedOn w:val="674"/>
    <w:pPr>
      <w:ind w:left="283"/>
      <w:spacing w:after="120" w:line="480" w:lineRule="auto"/>
    </w:pPr>
  </w:style>
  <w:style w:type="paragraph" w:styleId="894" w:customStyle="1">
    <w:name w:val="ConsPlusTitle"/>
    <w:pPr>
      <w:widowControl w:val="off"/>
    </w:pPr>
    <w:rPr>
      <w:b/>
      <w:bCs/>
      <w:sz w:val="28"/>
      <w:szCs w:val="28"/>
    </w:rPr>
  </w:style>
  <w:style w:type="paragraph" w:styleId="895" w:customStyle="1">
    <w:name w:val="ConsPlusNormal"/>
    <w:pPr>
      <w:ind w:firstLine="720"/>
      <w:widowControl w:val="off"/>
    </w:pPr>
    <w:rPr>
      <w:rFonts w:ascii="Arial" w:hAnsi="Arial" w:cs="Arial"/>
    </w:rPr>
  </w:style>
  <w:style w:type="character" w:styleId="896">
    <w:name w:val="Hyperlink"/>
    <w:basedOn w:val="684"/>
    <w:rPr>
      <w:color w:val="0000ff"/>
      <w:u w:val="single"/>
    </w:rPr>
  </w:style>
  <w:style w:type="paragraph" w:styleId="897" w:customStyle="1">
    <w:name w:val="ConsPlusCell"/>
    <w:uiPriority w:val="99"/>
    <w:rPr>
      <w:rFonts w:eastAsiaTheme="minorHAnsi"/>
      <w:sz w:val="28"/>
      <w:szCs w:val="28"/>
      <w:lang w:eastAsia="en-US"/>
    </w:rPr>
  </w:style>
  <w:style w:type="paragraph" w:styleId="898">
    <w:name w:val="Normal (Web)"/>
    <w:basedOn w:val="674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899" w:customStyle="1">
    <w:name w:val="Standard"/>
    <w:rPr>
      <w:sz w:val="26"/>
    </w:rPr>
  </w:style>
  <w:style w:type="character" w:styleId="900" w:customStyle="1">
    <w:name w:val="Верхний колонтитул Знак"/>
    <w:basedOn w:val="684"/>
    <w:link w:val="879"/>
    <w:uiPriority w:val="99"/>
    <w:rPr>
      <w:sz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E029F6-8D51-4185-B482-BC006607B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Р7-Офис/7.2.1.14</Application>
  <Company>Elcom Ltd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ппррррфР</dc:title>
  <dc:creator>Гуреева</dc:creator>
  <cp:revision>25</cp:revision>
  <dcterms:created xsi:type="dcterms:W3CDTF">2021-03-31T08:41:00Z</dcterms:created>
  <dcterms:modified xsi:type="dcterms:W3CDTF">2023-03-22T11:08:02Z</dcterms:modified>
</cp:coreProperties>
</file>